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CADFA" w14:textId="77777777" w:rsidR="00867D70" w:rsidRPr="00A35CD7" w:rsidRDefault="00867D70" w:rsidP="00EC0855">
      <w:pPr>
        <w:spacing w:line="360" w:lineRule="auto"/>
        <w:rPr>
          <w:rFonts w:cs="Times New Roman"/>
          <w:szCs w:val="24"/>
        </w:rPr>
      </w:pPr>
      <w:r w:rsidRPr="00A35CD7">
        <w:rPr>
          <w:rFonts w:cs="Times New Roman"/>
          <w:szCs w:val="24"/>
        </w:rPr>
        <w:t>Kierunek: TECHNIK ADMINISTRACJI</w:t>
      </w:r>
    </w:p>
    <w:p w14:paraId="198B2D42" w14:textId="77777777" w:rsidR="00867D70" w:rsidRPr="00A35CD7" w:rsidRDefault="00867D70" w:rsidP="00EC0855">
      <w:pPr>
        <w:spacing w:line="360" w:lineRule="auto"/>
        <w:rPr>
          <w:rFonts w:cs="Times New Roman"/>
          <w:szCs w:val="24"/>
        </w:rPr>
      </w:pPr>
      <w:r w:rsidRPr="00A35CD7">
        <w:rPr>
          <w:rFonts w:cs="Times New Roman"/>
          <w:szCs w:val="24"/>
        </w:rPr>
        <w:t>Przedmiot: PODSTAWY PRAWA CYWILNEGO</w:t>
      </w:r>
    </w:p>
    <w:p w14:paraId="0B5403DD" w14:textId="1D534F29" w:rsidR="00867D70" w:rsidRPr="00A35CD7" w:rsidRDefault="00867D70" w:rsidP="00EC0855">
      <w:pPr>
        <w:spacing w:line="360" w:lineRule="auto"/>
        <w:rPr>
          <w:rFonts w:cs="Times New Roman"/>
          <w:szCs w:val="24"/>
        </w:rPr>
      </w:pPr>
      <w:r w:rsidRPr="00A35CD7">
        <w:rPr>
          <w:rFonts w:cs="Times New Roman"/>
          <w:szCs w:val="24"/>
        </w:rPr>
        <w:t>Oddział:</w:t>
      </w:r>
      <w:r w:rsidR="00F10C8A">
        <w:rPr>
          <w:rFonts w:cs="Times New Roman"/>
          <w:szCs w:val="24"/>
        </w:rPr>
        <w:t xml:space="preserve"> </w:t>
      </w:r>
      <w:proofErr w:type="spellStart"/>
      <w:r w:rsidR="00F10C8A">
        <w:rPr>
          <w:rFonts w:cs="Times New Roman"/>
          <w:szCs w:val="24"/>
        </w:rPr>
        <w:t>sem</w:t>
      </w:r>
      <w:proofErr w:type="spellEnd"/>
      <w:r w:rsidR="00F10C8A">
        <w:rPr>
          <w:rFonts w:cs="Times New Roman"/>
          <w:szCs w:val="24"/>
        </w:rPr>
        <w:t>. I</w:t>
      </w:r>
      <w:r w:rsidRPr="00A35CD7">
        <w:rPr>
          <w:rFonts w:cs="Times New Roman"/>
          <w:szCs w:val="24"/>
        </w:rPr>
        <w:t xml:space="preserve"> </w:t>
      </w:r>
    </w:p>
    <w:p w14:paraId="3124E251" w14:textId="77777777" w:rsidR="00BD19DF" w:rsidRPr="00867D70" w:rsidRDefault="00867D70" w:rsidP="00EC0855">
      <w:pPr>
        <w:spacing w:line="360" w:lineRule="auto"/>
        <w:rPr>
          <w:rFonts w:cs="Times New Roman"/>
          <w:szCs w:val="24"/>
        </w:rPr>
      </w:pPr>
      <w:r w:rsidRPr="00A35CD7">
        <w:rPr>
          <w:rFonts w:cs="Times New Roman"/>
          <w:szCs w:val="24"/>
        </w:rPr>
        <w:t>Imię i nazwisko prowadzącego: PIOTR KASZCZYSZYN</w:t>
      </w:r>
    </w:p>
    <w:p w14:paraId="6F0B1DA2" w14:textId="77777777" w:rsidR="00867D70" w:rsidRPr="00A35CD7" w:rsidRDefault="004A68CC" w:rsidP="004A68CC">
      <w:pPr>
        <w:pStyle w:val="Akapitzlist"/>
        <w:numPr>
          <w:ilvl w:val="0"/>
          <w:numId w:val="1"/>
        </w:numPr>
        <w:spacing w:line="360" w:lineRule="auto"/>
        <w:rPr>
          <w:rFonts w:cs="Times New Roman"/>
          <w:szCs w:val="24"/>
        </w:rPr>
      </w:pPr>
      <w:r>
        <w:rPr>
          <w:rFonts w:cs="Times New Roman"/>
          <w:szCs w:val="24"/>
        </w:rPr>
        <w:t>Zajęcia 16</w:t>
      </w:r>
      <w:r w:rsidR="00B04B23">
        <w:rPr>
          <w:rFonts w:cs="Times New Roman"/>
          <w:szCs w:val="24"/>
        </w:rPr>
        <w:t xml:space="preserve">. </w:t>
      </w:r>
      <w:r w:rsidRPr="004A68CC">
        <w:rPr>
          <w:rFonts w:cs="Times New Roman"/>
          <w:szCs w:val="24"/>
        </w:rPr>
        <w:t>Oświadczenia woli, wykładnia oświadczeń woli</w:t>
      </w:r>
    </w:p>
    <w:p w14:paraId="187CB263" w14:textId="77777777" w:rsidR="00867D70" w:rsidRDefault="004A68CC" w:rsidP="004A68CC">
      <w:pPr>
        <w:pStyle w:val="Akapitzlist"/>
        <w:numPr>
          <w:ilvl w:val="0"/>
          <w:numId w:val="1"/>
        </w:numPr>
        <w:spacing w:line="360" w:lineRule="auto"/>
        <w:rPr>
          <w:rFonts w:cs="Times New Roman"/>
          <w:szCs w:val="24"/>
        </w:rPr>
      </w:pPr>
      <w:r>
        <w:rPr>
          <w:rFonts w:cs="Times New Roman"/>
          <w:szCs w:val="24"/>
        </w:rPr>
        <w:t>Zajęcia 17</w:t>
      </w:r>
      <w:r w:rsidR="00B04B23">
        <w:rPr>
          <w:rFonts w:cs="Times New Roman"/>
          <w:szCs w:val="24"/>
        </w:rPr>
        <w:t xml:space="preserve">. </w:t>
      </w:r>
      <w:r w:rsidRPr="004A68CC">
        <w:rPr>
          <w:rFonts w:cs="Times New Roman"/>
          <w:szCs w:val="24"/>
        </w:rPr>
        <w:t>Wady oświadczeń woli i skutek wadliwości</w:t>
      </w:r>
    </w:p>
    <w:p w14:paraId="02D42E0D" w14:textId="77777777" w:rsidR="004A68CC" w:rsidRDefault="004A68CC" w:rsidP="004E0696">
      <w:pPr>
        <w:pStyle w:val="Akapitzlist"/>
        <w:numPr>
          <w:ilvl w:val="0"/>
          <w:numId w:val="1"/>
        </w:numPr>
        <w:spacing w:line="360" w:lineRule="auto"/>
        <w:rPr>
          <w:rFonts w:cs="Times New Roman"/>
          <w:szCs w:val="24"/>
        </w:rPr>
      </w:pPr>
      <w:r>
        <w:rPr>
          <w:rFonts w:cs="Times New Roman"/>
          <w:szCs w:val="24"/>
        </w:rPr>
        <w:t xml:space="preserve">Zajęcia 18. </w:t>
      </w:r>
      <w:r w:rsidR="004E0696" w:rsidRPr="004E0696">
        <w:rPr>
          <w:rFonts w:cs="Times New Roman"/>
          <w:szCs w:val="24"/>
        </w:rPr>
        <w:t>Forma czynności prawnych i skutki jej niezachowania</w:t>
      </w:r>
    </w:p>
    <w:p w14:paraId="20F75109" w14:textId="77777777" w:rsidR="00B43706" w:rsidRDefault="00010DCD" w:rsidP="00EC0855">
      <w:pPr>
        <w:spacing w:line="360" w:lineRule="auto"/>
        <w:rPr>
          <w:rFonts w:cs="Times New Roman"/>
          <w:szCs w:val="24"/>
        </w:rPr>
      </w:pPr>
      <w:r>
        <w:rPr>
          <w:rFonts w:cs="Times New Roman"/>
          <w:szCs w:val="24"/>
        </w:rPr>
        <w:t>Proszę zapoznać się z poniższym materiałem, a po przeczytaniu sprawdzić swoją wiedzę rozwiązując krótki test</w:t>
      </w:r>
      <w:r w:rsidR="004A68CC">
        <w:rPr>
          <w:rFonts w:cs="Times New Roman"/>
          <w:szCs w:val="24"/>
        </w:rPr>
        <w:t xml:space="preserve"> z zajęć 14 do 18</w:t>
      </w:r>
      <w:r>
        <w:rPr>
          <w:rFonts w:cs="Times New Roman"/>
          <w:szCs w:val="24"/>
        </w:rPr>
        <w:t>.</w:t>
      </w:r>
    </w:p>
    <w:p w14:paraId="4AEC9579" w14:textId="77777777" w:rsidR="000A2F21" w:rsidRPr="00B43706" w:rsidRDefault="00DA32E6" w:rsidP="00EC0855">
      <w:pPr>
        <w:spacing w:line="360" w:lineRule="auto"/>
        <w:rPr>
          <w:rFonts w:cs="Times New Roman"/>
          <w:b/>
          <w:sz w:val="28"/>
          <w:szCs w:val="24"/>
        </w:rPr>
      </w:pPr>
      <w:r>
        <w:rPr>
          <w:rFonts w:cs="Times New Roman"/>
          <w:b/>
          <w:sz w:val="28"/>
          <w:szCs w:val="24"/>
        </w:rPr>
        <w:t>Zajęcia 16</w:t>
      </w:r>
      <w:r w:rsidR="00980114" w:rsidRPr="00980114">
        <w:rPr>
          <w:rFonts w:cs="Times New Roman"/>
          <w:b/>
          <w:sz w:val="28"/>
          <w:szCs w:val="24"/>
        </w:rPr>
        <w:t xml:space="preserve">. </w:t>
      </w:r>
      <w:r w:rsidRPr="00DA32E6">
        <w:rPr>
          <w:rFonts w:cs="Times New Roman"/>
          <w:b/>
          <w:sz w:val="28"/>
          <w:szCs w:val="24"/>
        </w:rPr>
        <w:t>Oświadczenia woli, wykładnia oświadczeń woli</w:t>
      </w:r>
    </w:p>
    <w:p w14:paraId="712F0D35" w14:textId="77777777" w:rsidR="00460963" w:rsidRDefault="00460963" w:rsidP="00AA37F0">
      <w:pPr>
        <w:spacing w:line="360" w:lineRule="auto"/>
        <w:rPr>
          <w:bCs/>
          <w:szCs w:val="24"/>
          <w:u w:val="single"/>
        </w:rPr>
      </w:pPr>
      <w:r>
        <w:rPr>
          <w:bCs/>
          <w:szCs w:val="24"/>
          <w:u w:val="single"/>
        </w:rPr>
        <w:t>Pojęcie oświadczenia woli</w:t>
      </w:r>
    </w:p>
    <w:p w14:paraId="351AAAAF" w14:textId="77777777" w:rsidR="00460963" w:rsidRPr="00460963" w:rsidRDefault="00460963" w:rsidP="00460963">
      <w:pPr>
        <w:spacing w:line="360" w:lineRule="auto"/>
        <w:rPr>
          <w:bCs/>
          <w:szCs w:val="24"/>
        </w:rPr>
      </w:pPr>
      <w:r>
        <w:rPr>
          <w:bCs/>
          <w:szCs w:val="24"/>
        </w:rPr>
        <w:t xml:space="preserve">Oświadczenie woli, czyli (…) </w:t>
      </w:r>
      <w:r w:rsidRPr="00460963">
        <w:rPr>
          <w:bCs/>
          <w:szCs w:val="24"/>
        </w:rPr>
        <w:t>wola osoby dokonuj</w:t>
      </w:r>
      <w:r>
        <w:rPr>
          <w:bCs/>
          <w:szCs w:val="24"/>
        </w:rPr>
        <w:t xml:space="preserve">ącej czynności prawnej, która może być </w:t>
      </w:r>
      <w:r w:rsidRPr="00460963">
        <w:rPr>
          <w:bCs/>
          <w:szCs w:val="24"/>
        </w:rPr>
        <w:t xml:space="preserve">wyrażona przez każde </w:t>
      </w:r>
      <w:r>
        <w:rPr>
          <w:bCs/>
          <w:szCs w:val="24"/>
        </w:rPr>
        <w:t xml:space="preserve">zachowanie się tej osoby, które </w:t>
      </w:r>
      <w:r w:rsidRPr="00460963">
        <w:rPr>
          <w:bCs/>
          <w:szCs w:val="24"/>
        </w:rPr>
        <w:t>ujawnia jej wolę w sp</w:t>
      </w:r>
      <w:r>
        <w:rPr>
          <w:bCs/>
          <w:szCs w:val="24"/>
        </w:rPr>
        <w:t xml:space="preserve">osób dostateczny, w tym również </w:t>
      </w:r>
      <w:r w:rsidRPr="00460963">
        <w:rPr>
          <w:bCs/>
          <w:szCs w:val="24"/>
        </w:rPr>
        <w:t>przez ujawnienie tej woli w postaci elektronicznej</w:t>
      </w:r>
      <w:r>
        <w:rPr>
          <w:bCs/>
          <w:szCs w:val="24"/>
        </w:rPr>
        <w:t xml:space="preserve"> (Art. 60. KC).</w:t>
      </w:r>
    </w:p>
    <w:p w14:paraId="5B12BBF0" w14:textId="77777777" w:rsidR="009A031A" w:rsidRPr="009A031A" w:rsidRDefault="009A031A" w:rsidP="00AA37F0">
      <w:pPr>
        <w:spacing w:line="360" w:lineRule="auto"/>
        <w:rPr>
          <w:bCs/>
          <w:szCs w:val="24"/>
          <w:u w:val="single"/>
        </w:rPr>
      </w:pPr>
      <w:r w:rsidRPr="009A031A">
        <w:rPr>
          <w:bCs/>
          <w:szCs w:val="24"/>
          <w:u w:val="single"/>
        </w:rPr>
        <w:t>Zasady wykładni oświadczeń woli</w:t>
      </w:r>
    </w:p>
    <w:p w14:paraId="78C0C126" w14:textId="77777777" w:rsidR="009A031A" w:rsidRDefault="009A031A" w:rsidP="009A031A">
      <w:pPr>
        <w:spacing w:line="360" w:lineRule="auto"/>
        <w:rPr>
          <w:bCs/>
          <w:szCs w:val="24"/>
        </w:rPr>
      </w:pPr>
      <w:r w:rsidRPr="009A031A">
        <w:rPr>
          <w:bCs/>
          <w:szCs w:val="24"/>
        </w:rPr>
        <w:t>Oświadczenie woli należy tak tłumaczyć, jak tego wymagają ze względu na okoliczności, w których złożone zostało, zasady współżycia społecznego oraz ustalone zwyczaje</w:t>
      </w:r>
      <w:r>
        <w:rPr>
          <w:bCs/>
          <w:szCs w:val="24"/>
        </w:rPr>
        <w:t xml:space="preserve"> (Art. 65. § 1. KC).</w:t>
      </w:r>
    </w:p>
    <w:p w14:paraId="15BEBC47" w14:textId="77777777" w:rsidR="009A031A" w:rsidRDefault="009A031A" w:rsidP="009A031A">
      <w:pPr>
        <w:spacing w:line="360" w:lineRule="auto"/>
        <w:rPr>
          <w:bCs/>
          <w:szCs w:val="24"/>
        </w:rPr>
      </w:pPr>
      <w:r w:rsidRPr="009A031A">
        <w:rPr>
          <w:bCs/>
          <w:szCs w:val="24"/>
        </w:rPr>
        <w:t>W umowach należy raczej badać, jaki był zgodny zamiar stron i cel umowy, aniżeli opierać</w:t>
      </w:r>
      <w:r>
        <w:rPr>
          <w:bCs/>
          <w:szCs w:val="24"/>
        </w:rPr>
        <w:t xml:space="preserve"> się na jej dosłownym brzmieniu (Art. 65. § 2. KC).</w:t>
      </w:r>
    </w:p>
    <w:p w14:paraId="5149B1CE" w14:textId="77777777" w:rsidR="009A031A" w:rsidRPr="009E2067" w:rsidRDefault="00460963" w:rsidP="009A031A">
      <w:pPr>
        <w:spacing w:line="360" w:lineRule="auto"/>
        <w:rPr>
          <w:bCs/>
          <w:szCs w:val="24"/>
          <w:u w:val="single"/>
        </w:rPr>
      </w:pPr>
      <w:r w:rsidRPr="009E2067">
        <w:rPr>
          <w:bCs/>
          <w:szCs w:val="24"/>
          <w:u w:val="single"/>
        </w:rPr>
        <w:t>Oświadczenie woli jest możliwe gdy:</w:t>
      </w:r>
    </w:p>
    <w:p w14:paraId="133706A7" w14:textId="77777777" w:rsidR="00460963" w:rsidRDefault="00460963" w:rsidP="00460963">
      <w:pPr>
        <w:pStyle w:val="Akapitzlist"/>
        <w:numPr>
          <w:ilvl w:val="0"/>
          <w:numId w:val="29"/>
        </w:numPr>
        <w:spacing w:line="360" w:lineRule="auto"/>
        <w:rPr>
          <w:bCs/>
          <w:szCs w:val="24"/>
        </w:rPr>
      </w:pPr>
      <w:r>
        <w:rPr>
          <w:bCs/>
          <w:szCs w:val="24"/>
        </w:rPr>
        <w:t>decyzja wynikająca z zachowania podmiotu dotyczy sprawy normowanej przez prawo cywilne,</w:t>
      </w:r>
    </w:p>
    <w:p w14:paraId="4106EDD7" w14:textId="77777777" w:rsidR="00460963" w:rsidRDefault="00460963" w:rsidP="00460963">
      <w:pPr>
        <w:pStyle w:val="Akapitzlist"/>
        <w:numPr>
          <w:ilvl w:val="0"/>
          <w:numId w:val="29"/>
        </w:numPr>
        <w:spacing w:line="360" w:lineRule="auto"/>
        <w:rPr>
          <w:bCs/>
          <w:szCs w:val="24"/>
        </w:rPr>
      </w:pPr>
      <w:r>
        <w:rPr>
          <w:bCs/>
          <w:szCs w:val="24"/>
        </w:rPr>
        <w:t>oświadczenie jest zrozumiałe, na tyle aby dało się ustalić jego sens,</w:t>
      </w:r>
    </w:p>
    <w:p w14:paraId="41DF1B49" w14:textId="77777777" w:rsidR="00460963" w:rsidRDefault="00460963" w:rsidP="00460963">
      <w:pPr>
        <w:pStyle w:val="Akapitzlist"/>
        <w:numPr>
          <w:ilvl w:val="0"/>
          <w:numId w:val="29"/>
        </w:numPr>
        <w:spacing w:line="360" w:lineRule="auto"/>
        <w:rPr>
          <w:bCs/>
          <w:szCs w:val="24"/>
        </w:rPr>
      </w:pPr>
      <w:r>
        <w:rPr>
          <w:bCs/>
          <w:szCs w:val="24"/>
        </w:rPr>
        <w:t>nie powstało pod przymusem fizycznym,</w:t>
      </w:r>
    </w:p>
    <w:p w14:paraId="2726929E" w14:textId="77777777" w:rsidR="00460963" w:rsidRDefault="00460963" w:rsidP="00460963">
      <w:pPr>
        <w:pStyle w:val="Akapitzlist"/>
        <w:numPr>
          <w:ilvl w:val="0"/>
          <w:numId w:val="29"/>
        </w:numPr>
        <w:spacing w:line="360" w:lineRule="auto"/>
        <w:rPr>
          <w:bCs/>
          <w:szCs w:val="24"/>
        </w:rPr>
      </w:pPr>
      <w:r>
        <w:rPr>
          <w:bCs/>
          <w:szCs w:val="24"/>
        </w:rPr>
        <w:t xml:space="preserve">złożone zostało </w:t>
      </w:r>
      <w:r w:rsidR="009A3AAC">
        <w:rPr>
          <w:bCs/>
          <w:szCs w:val="24"/>
        </w:rPr>
        <w:t>na poważnie.</w:t>
      </w:r>
    </w:p>
    <w:p w14:paraId="0DD37BBD" w14:textId="77777777" w:rsidR="009A3AAC" w:rsidRDefault="009A3AAC" w:rsidP="009A3AAC">
      <w:pPr>
        <w:spacing w:line="360" w:lineRule="auto"/>
        <w:rPr>
          <w:bCs/>
          <w:szCs w:val="24"/>
        </w:rPr>
      </w:pPr>
      <w:r>
        <w:rPr>
          <w:bCs/>
          <w:szCs w:val="24"/>
        </w:rPr>
        <w:t>Oświadczenie woli składa się z:</w:t>
      </w:r>
    </w:p>
    <w:p w14:paraId="053EA7F4" w14:textId="77777777" w:rsidR="009A3AAC" w:rsidRDefault="009A3AAC" w:rsidP="009A3AAC">
      <w:pPr>
        <w:pStyle w:val="Akapitzlist"/>
        <w:numPr>
          <w:ilvl w:val="0"/>
          <w:numId w:val="30"/>
        </w:numPr>
        <w:spacing w:line="360" w:lineRule="auto"/>
        <w:rPr>
          <w:bCs/>
          <w:szCs w:val="24"/>
        </w:rPr>
      </w:pPr>
      <w:r>
        <w:rPr>
          <w:bCs/>
          <w:szCs w:val="24"/>
        </w:rPr>
        <w:t>Przejawu woli,</w:t>
      </w:r>
    </w:p>
    <w:p w14:paraId="4FBDE826" w14:textId="77777777" w:rsidR="009A3AAC" w:rsidRPr="009A3AAC" w:rsidRDefault="009A3AAC" w:rsidP="009A3AAC">
      <w:pPr>
        <w:pStyle w:val="Akapitzlist"/>
        <w:numPr>
          <w:ilvl w:val="0"/>
          <w:numId w:val="30"/>
        </w:numPr>
        <w:spacing w:line="360" w:lineRule="auto"/>
        <w:rPr>
          <w:bCs/>
          <w:szCs w:val="24"/>
        </w:rPr>
      </w:pPr>
      <w:r>
        <w:rPr>
          <w:bCs/>
          <w:szCs w:val="24"/>
        </w:rPr>
        <w:lastRenderedPageBreak/>
        <w:t>Aktu woli.</w:t>
      </w:r>
    </w:p>
    <w:p w14:paraId="437FCF99" w14:textId="77777777" w:rsidR="009A031A" w:rsidRPr="009A3AAC" w:rsidRDefault="009A3AAC" w:rsidP="009A031A">
      <w:pPr>
        <w:spacing w:line="360" w:lineRule="auto"/>
        <w:rPr>
          <w:bCs/>
          <w:szCs w:val="24"/>
          <w:u w:val="single"/>
        </w:rPr>
      </w:pPr>
      <w:r w:rsidRPr="009A3AAC">
        <w:rPr>
          <w:bCs/>
          <w:szCs w:val="24"/>
          <w:u w:val="single"/>
        </w:rPr>
        <w:t>Formy złożenia oświadczenia woli</w:t>
      </w:r>
    </w:p>
    <w:p w14:paraId="194BF999" w14:textId="77777777" w:rsidR="00AA5C13" w:rsidRDefault="009A3AAC" w:rsidP="00AA5C13">
      <w:pPr>
        <w:spacing w:line="360" w:lineRule="auto"/>
        <w:rPr>
          <w:rFonts w:cs="Times New Roman"/>
          <w:szCs w:val="24"/>
        </w:rPr>
      </w:pPr>
      <w:r>
        <w:rPr>
          <w:rFonts w:cs="Times New Roman"/>
          <w:szCs w:val="24"/>
        </w:rPr>
        <w:t>Oświadczenie woli może być:</w:t>
      </w:r>
    </w:p>
    <w:p w14:paraId="12B33455" w14:textId="77777777" w:rsidR="009A3AAC" w:rsidRDefault="009A3AAC" w:rsidP="009A3AAC">
      <w:pPr>
        <w:pStyle w:val="Akapitzlist"/>
        <w:numPr>
          <w:ilvl w:val="0"/>
          <w:numId w:val="31"/>
        </w:numPr>
        <w:spacing w:line="360" w:lineRule="auto"/>
        <w:rPr>
          <w:rFonts w:cs="Times New Roman"/>
          <w:szCs w:val="24"/>
        </w:rPr>
      </w:pPr>
      <w:r>
        <w:rPr>
          <w:rFonts w:cs="Times New Roman"/>
          <w:szCs w:val="24"/>
        </w:rPr>
        <w:t xml:space="preserve">Wyraźne </w:t>
      </w:r>
      <w:r w:rsidR="00B83A6D">
        <w:rPr>
          <w:rFonts w:cs="Times New Roman"/>
          <w:szCs w:val="24"/>
        </w:rPr>
        <w:t>– złożone na piśmie, ustnie, mailowo (np. podpisanie umowy).</w:t>
      </w:r>
    </w:p>
    <w:p w14:paraId="7FEB5ADF" w14:textId="77777777" w:rsidR="009A3AAC" w:rsidRPr="009A3AAC" w:rsidRDefault="009A3AAC" w:rsidP="009A3AAC">
      <w:pPr>
        <w:pStyle w:val="Akapitzlist"/>
        <w:numPr>
          <w:ilvl w:val="0"/>
          <w:numId w:val="31"/>
        </w:numPr>
        <w:spacing w:line="360" w:lineRule="auto"/>
        <w:rPr>
          <w:rFonts w:cs="Times New Roman"/>
          <w:szCs w:val="24"/>
        </w:rPr>
      </w:pPr>
      <w:r>
        <w:rPr>
          <w:rFonts w:cs="Times New Roman"/>
          <w:szCs w:val="24"/>
        </w:rPr>
        <w:t xml:space="preserve">Dorozumiane – złożone poprzez gesty i inne komunikaty pozawerbalne (np. twierdzące kiwnięcie głową, uścisk ręki). </w:t>
      </w:r>
    </w:p>
    <w:p w14:paraId="030A0D7C" w14:textId="77777777" w:rsidR="009A3AAC" w:rsidRPr="00B83A6D" w:rsidRDefault="00B83A6D" w:rsidP="00AA5C13">
      <w:pPr>
        <w:spacing w:line="360" w:lineRule="auto"/>
        <w:rPr>
          <w:rFonts w:cs="Times New Roman"/>
          <w:szCs w:val="24"/>
          <w:u w:val="single"/>
        </w:rPr>
      </w:pPr>
      <w:r w:rsidRPr="00B83A6D">
        <w:rPr>
          <w:rFonts w:cs="Times New Roman"/>
          <w:szCs w:val="24"/>
          <w:u w:val="single"/>
        </w:rPr>
        <w:t>Złożenie oświadczenia woli</w:t>
      </w:r>
    </w:p>
    <w:p w14:paraId="33B3F3E3" w14:textId="77777777" w:rsidR="00B83A6D" w:rsidRDefault="00B83A6D" w:rsidP="00AA5C13">
      <w:pPr>
        <w:spacing w:line="360" w:lineRule="auto"/>
        <w:rPr>
          <w:rFonts w:cs="Times New Roman"/>
          <w:szCs w:val="24"/>
        </w:rPr>
      </w:pPr>
      <w:r>
        <w:rPr>
          <w:rFonts w:cs="Times New Roman"/>
          <w:szCs w:val="24"/>
        </w:rPr>
        <w:t>W chwili złożenia oświadczenia woli, podmiot który je składa jest nim związany i zazwyczaj nie może go odwołać.</w:t>
      </w:r>
    </w:p>
    <w:p w14:paraId="19A01AE5" w14:textId="77777777" w:rsidR="00B83A6D" w:rsidRDefault="009E2067" w:rsidP="00AA5C13">
      <w:pPr>
        <w:spacing w:line="360" w:lineRule="auto"/>
        <w:rPr>
          <w:rFonts w:cs="Times New Roman"/>
          <w:szCs w:val="24"/>
        </w:rPr>
      </w:pPr>
      <w:r>
        <w:rPr>
          <w:rFonts w:cs="Times New Roman"/>
          <w:szCs w:val="24"/>
        </w:rPr>
        <w:t>Wyróżnia się oświadczenia woli, które:</w:t>
      </w:r>
    </w:p>
    <w:p w14:paraId="2E347BFD" w14:textId="77777777" w:rsidR="009E2067" w:rsidRDefault="009E2067" w:rsidP="009E2067">
      <w:pPr>
        <w:pStyle w:val="Akapitzlist"/>
        <w:numPr>
          <w:ilvl w:val="0"/>
          <w:numId w:val="32"/>
        </w:numPr>
        <w:spacing w:line="360" w:lineRule="auto"/>
        <w:rPr>
          <w:rFonts w:cs="Times New Roman"/>
          <w:szCs w:val="24"/>
        </w:rPr>
      </w:pPr>
      <w:r>
        <w:rPr>
          <w:rFonts w:cs="Times New Roman"/>
          <w:szCs w:val="24"/>
        </w:rPr>
        <w:t>Wymagają zakomunikowania (dla osiągnięcia skuteczności) danemu adresatowi. W tym przypadku jest możliwe odwołanie jeśli doszło ono do adresata wcześniej lub jednocześnie z oświadczeniem.</w:t>
      </w:r>
    </w:p>
    <w:p w14:paraId="2E85669D" w14:textId="77777777" w:rsidR="009E2067" w:rsidRDefault="009E2067" w:rsidP="009E2067">
      <w:pPr>
        <w:pStyle w:val="Akapitzlist"/>
        <w:numPr>
          <w:ilvl w:val="0"/>
          <w:numId w:val="32"/>
        </w:numPr>
        <w:spacing w:line="360" w:lineRule="auto"/>
        <w:rPr>
          <w:rFonts w:cs="Times New Roman"/>
          <w:szCs w:val="24"/>
        </w:rPr>
      </w:pPr>
      <w:r>
        <w:rPr>
          <w:rFonts w:cs="Times New Roman"/>
          <w:szCs w:val="24"/>
        </w:rPr>
        <w:t>Nie wymagają zakomunikowania określonemu adresatowi (np. skierowane do ogółu i złożone z chwilą upublicznienia).</w:t>
      </w:r>
    </w:p>
    <w:p w14:paraId="4EBE565F" w14:textId="77777777" w:rsidR="009E2067" w:rsidRDefault="009E2067" w:rsidP="009E2067">
      <w:pPr>
        <w:pStyle w:val="Akapitzlist"/>
        <w:numPr>
          <w:ilvl w:val="0"/>
          <w:numId w:val="32"/>
        </w:numPr>
        <w:spacing w:line="360" w:lineRule="auto"/>
        <w:rPr>
          <w:rFonts w:cs="Times New Roman"/>
          <w:szCs w:val="24"/>
        </w:rPr>
      </w:pPr>
      <w:r>
        <w:rPr>
          <w:rFonts w:cs="Times New Roman"/>
          <w:szCs w:val="24"/>
        </w:rPr>
        <w:t>Takie, które wymagają złożenia w obecności świadków lub przed organem władzy publicznej.</w:t>
      </w:r>
    </w:p>
    <w:p w14:paraId="77046355" w14:textId="77777777" w:rsidR="009E2067" w:rsidRPr="009E2067" w:rsidRDefault="009E2067" w:rsidP="009E2067">
      <w:pPr>
        <w:spacing w:line="360" w:lineRule="auto"/>
        <w:rPr>
          <w:rFonts w:cs="Times New Roman"/>
          <w:szCs w:val="24"/>
        </w:rPr>
      </w:pPr>
      <w:r>
        <w:rPr>
          <w:rFonts w:cs="Times New Roman"/>
          <w:szCs w:val="24"/>
        </w:rPr>
        <w:t>WYKŁADNIA OŚWIADCZEŃ WOLI</w:t>
      </w:r>
      <w:r w:rsidRPr="009E2067">
        <w:rPr>
          <w:rFonts w:cs="Times New Roman"/>
          <w:szCs w:val="24"/>
        </w:rPr>
        <w:t xml:space="preserve"> </w:t>
      </w:r>
    </w:p>
    <w:p w14:paraId="7E63B880" w14:textId="77777777" w:rsidR="009E2067" w:rsidRPr="009A031A" w:rsidRDefault="009E2067" w:rsidP="009E2067">
      <w:pPr>
        <w:spacing w:line="360" w:lineRule="auto"/>
        <w:rPr>
          <w:bCs/>
          <w:szCs w:val="24"/>
          <w:u w:val="single"/>
        </w:rPr>
      </w:pPr>
      <w:r w:rsidRPr="009A031A">
        <w:rPr>
          <w:bCs/>
          <w:szCs w:val="24"/>
          <w:u w:val="single"/>
        </w:rPr>
        <w:t xml:space="preserve">Metodyka kombinowana wykładni </w:t>
      </w:r>
    </w:p>
    <w:p w14:paraId="52A9F3D2" w14:textId="77777777" w:rsidR="009E2067" w:rsidRDefault="009E2067" w:rsidP="009E2067">
      <w:pPr>
        <w:spacing w:line="360" w:lineRule="auto"/>
        <w:rPr>
          <w:bCs/>
          <w:szCs w:val="24"/>
        </w:rPr>
      </w:pPr>
      <w:r>
        <w:rPr>
          <w:bCs/>
          <w:szCs w:val="24"/>
        </w:rPr>
        <w:t>Kombinowana metodyka wykładni przyjęta została przez Sąd Najwyższy. Polega ona na przyznaniu pierwszeństwa znaczeniu oświadczenia woli, jakie nadały mu obie strony w momencie jego złożenia (jest to subiektywny wzorzec wykładni). Zatem sprawdza się jaki był zgodny zamiar stron, a nie brzmienie umowy.</w:t>
      </w:r>
    </w:p>
    <w:p w14:paraId="5CFB99BA" w14:textId="77777777" w:rsidR="005F78E9" w:rsidRDefault="005F78E9" w:rsidP="00AA5C13">
      <w:pPr>
        <w:spacing w:line="360" w:lineRule="auto"/>
        <w:rPr>
          <w:rFonts w:cs="Times New Roman"/>
          <w:szCs w:val="24"/>
        </w:rPr>
      </w:pPr>
      <w:r>
        <w:rPr>
          <w:rFonts w:cs="Times New Roman"/>
          <w:b/>
          <w:szCs w:val="24"/>
        </w:rPr>
        <w:t>Wykładnia obiektywna</w:t>
      </w:r>
      <w:r>
        <w:rPr>
          <w:rFonts w:cs="Times New Roman"/>
          <w:szCs w:val="24"/>
        </w:rPr>
        <w:t xml:space="preserve"> – czyli pierwszeństwo przejawu woli nad aktem woli, znajduje zastosowanie gdy:</w:t>
      </w:r>
    </w:p>
    <w:p w14:paraId="3B4557A0" w14:textId="77777777" w:rsidR="005F78E9" w:rsidRDefault="005F78E9" w:rsidP="005F78E9">
      <w:pPr>
        <w:pStyle w:val="Akapitzlist"/>
        <w:numPr>
          <w:ilvl w:val="0"/>
          <w:numId w:val="34"/>
        </w:numPr>
        <w:spacing w:line="360" w:lineRule="auto"/>
        <w:rPr>
          <w:rFonts w:cs="Times New Roman"/>
          <w:szCs w:val="24"/>
        </w:rPr>
      </w:pPr>
      <w:r>
        <w:rPr>
          <w:rFonts w:cs="Times New Roman"/>
          <w:szCs w:val="24"/>
        </w:rPr>
        <w:t>strony rozumieją inaczej sens oświadczenia woli.</w:t>
      </w:r>
    </w:p>
    <w:p w14:paraId="6E3F73E8" w14:textId="77777777" w:rsidR="005F78E9" w:rsidRDefault="005F78E9" w:rsidP="005F78E9">
      <w:pPr>
        <w:spacing w:line="360" w:lineRule="auto"/>
        <w:rPr>
          <w:rFonts w:cs="Times New Roman"/>
          <w:szCs w:val="24"/>
        </w:rPr>
      </w:pPr>
      <w:r>
        <w:rPr>
          <w:rFonts w:cs="Times New Roman"/>
          <w:szCs w:val="24"/>
        </w:rPr>
        <w:t>Ten kto składa oświadczenie woli musi zadbać w szczególności o poprawność sformułowania oświadczenia, gdyż ponosi konsekwencje za jego niestaranne sporządzenie.</w:t>
      </w:r>
    </w:p>
    <w:p w14:paraId="134E82DF" w14:textId="77777777" w:rsidR="005F78E9" w:rsidRDefault="005F78E9" w:rsidP="005F78E9">
      <w:pPr>
        <w:spacing w:line="360" w:lineRule="auto"/>
        <w:rPr>
          <w:rFonts w:cs="Times New Roman"/>
          <w:szCs w:val="24"/>
        </w:rPr>
      </w:pPr>
      <w:r>
        <w:rPr>
          <w:rFonts w:cs="Times New Roman"/>
          <w:szCs w:val="24"/>
        </w:rPr>
        <w:lastRenderedPageBreak/>
        <w:t>Przy wykładni obiektywnej istotne jest:</w:t>
      </w:r>
    </w:p>
    <w:p w14:paraId="45FF5497" w14:textId="77777777" w:rsidR="005F78E9" w:rsidRDefault="005F78E9" w:rsidP="005F78E9">
      <w:pPr>
        <w:pStyle w:val="Akapitzlist"/>
        <w:numPr>
          <w:ilvl w:val="0"/>
          <w:numId w:val="35"/>
        </w:numPr>
        <w:spacing w:line="360" w:lineRule="auto"/>
        <w:rPr>
          <w:rFonts w:cs="Times New Roman"/>
          <w:szCs w:val="24"/>
        </w:rPr>
      </w:pPr>
      <w:r>
        <w:rPr>
          <w:rFonts w:cs="Times New Roman"/>
          <w:szCs w:val="24"/>
        </w:rPr>
        <w:t>cel czynności prawnej,</w:t>
      </w:r>
    </w:p>
    <w:p w14:paraId="6F5D0BCE" w14:textId="77777777" w:rsidR="005F78E9" w:rsidRDefault="005F78E9" w:rsidP="005F78E9">
      <w:pPr>
        <w:pStyle w:val="Akapitzlist"/>
        <w:numPr>
          <w:ilvl w:val="0"/>
          <w:numId w:val="35"/>
        </w:numPr>
        <w:spacing w:line="360" w:lineRule="auto"/>
        <w:rPr>
          <w:rFonts w:cs="Times New Roman"/>
          <w:szCs w:val="24"/>
        </w:rPr>
      </w:pPr>
      <w:r>
        <w:rPr>
          <w:rFonts w:cs="Times New Roman"/>
          <w:szCs w:val="24"/>
        </w:rPr>
        <w:t>okoliczności, w jakich składane jest oświadczenie woli,</w:t>
      </w:r>
    </w:p>
    <w:p w14:paraId="5F9ACDB4" w14:textId="77777777" w:rsidR="005F78E9" w:rsidRDefault="005F78E9" w:rsidP="005F78E9">
      <w:pPr>
        <w:pStyle w:val="Akapitzlist"/>
        <w:numPr>
          <w:ilvl w:val="0"/>
          <w:numId w:val="35"/>
        </w:numPr>
        <w:spacing w:line="360" w:lineRule="auto"/>
        <w:rPr>
          <w:rFonts w:cs="Times New Roman"/>
          <w:szCs w:val="24"/>
        </w:rPr>
      </w:pPr>
      <w:r>
        <w:rPr>
          <w:rFonts w:cs="Times New Roman"/>
          <w:szCs w:val="24"/>
        </w:rPr>
        <w:t>ustalone zwyczaje,</w:t>
      </w:r>
    </w:p>
    <w:p w14:paraId="50D25392" w14:textId="77777777" w:rsidR="005F78E9" w:rsidRPr="005F78E9" w:rsidRDefault="005F78E9" w:rsidP="005F78E9">
      <w:pPr>
        <w:pStyle w:val="Akapitzlist"/>
        <w:numPr>
          <w:ilvl w:val="0"/>
          <w:numId w:val="35"/>
        </w:numPr>
        <w:spacing w:line="360" w:lineRule="auto"/>
        <w:rPr>
          <w:rFonts w:cs="Times New Roman"/>
          <w:szCs w:val="24"/>
        </w:rPr>
      </w:pPr>
      <w:r>
        <w:rPr>
          <w:rFonts w:cs="Times New Roman"/>
          <w:szCs w:val="24"/>
        </w:rPr>
        <w:t>zasady współżycia społecznego.</w:t>
      </w:r>
    </w:p>
    <w:p w14:paraId="2FDCF86F" w14:textId="77777777" w:rsidR="00B83A6D" w:rsidRDefault="009E2067" w:rsidP="00AA5C13">
      <w:pPr>
        <w:spacing w:line="360" w:lineRule="auto"/>
        <w:rPr>
          <w:rFonts w:cs="Times New Roman"/>
          <w:szCs w:val="24"/>
        </w:rPr>
      </w:pPr>
      <w:r w:rsidRPr="005F78E9">
        <w:rPr>
          <w:rFonts w:cs="Times New Roman"/>
          <w:b/>
          <w:szCs w:val="24"/>
        </w:rPr>
        <w:t>Wykładnia subiektywna</w:t>
      </w:r>
      <w:r>
        <w:rPr>
          <w:rFonts w:cs="Times New Roman"/>
          <w:szCs w:val="24"/>
        </w:rPr>
        <w:t xml:space="preserve"> – czyli pierwszeństwo aktu woli nad przejawem woli</w:t>
      </w:r>
      <w:r w:rsidR="005F78E9">
        <w:rPr>
          <w:rFonts w:cs="Times New Roman"/>
          <w:szCs w:val="24"/>
        </w:rPr>
        <w:t>, znajduje zastosowanie w przypadku, gdy:</w:t>
      </w:r>
    </w:p>
    <w:p w14:paraId="4B337F7C" w14:textId="77777777" w:rsidR="005F78E9" w:rsidRDefault="005F78E9" w:rsidP="005F78E9">
      <w:pPr>
        <w:pStyle w:val="Akapitzlist"/>
        <w:numPr>
          <w:ilvl w:val="0"/>
          <w:numId w:val="33"/>
        </w:numPr>
        <w:spacing w:line="360" w:lineRule="auto"/>
        <w:rPr>
          <w:rFonts w:cs="Times New Roman"/>
          <w:szCs w:val="24"/>
        </w:rPr>
      </w:pPr>
      <w:r>
        <w:rPr>
          <w:rFonts w:cs="Times New Roman"/>
          <w:szCs w:val="24"/>
        </w:rPr>
        <w:t>Zamiary stron w kwestii istoty i treści stosunku były wspólne,</w:t>
      </w:r>
    </w:p>
    <w:p w14:paraId="11AE84A0" w14:textId="77777777" w:rsidR="005F78E9" w:rsidRDefault="005F78E9" w:rsidP="005F78E9">
      <w:pPr>
        <w:pStyle w:val="Akapitzlist"/>
        <w:numPr>
          <w:ilvl w:val="0"/>
          <w:numId w:val="33"/>
        </w:numPr>
        <w:spacing w:line="360" w:lineRule="auto"/>
        <w:rPr>
          <w:rFonts w:cs="Times New Roman"/>
          <w:szCs w:val="24"/>
        </w:rPr>
      </w:pPr>
      <w:r>
        <w:rPr>
          <w:rFonts w:cs="Times New Roman"/>
          <w:szCs w:val="24"/>
        </w:rPr>
        <w:t>Nie jest wymagane zakomunikowanie nikomu oświadczenia woli.</w:t>
      </w:r>
    </w:p>
    <w:p w14:paraId="6F22BA06" w14:textId="77777777" w:rsidR="005F78E9" w:rsidRPr="005F78E9" w:rsidRDefault="005F78E9" w:rsidP="005F78E9">
      <w:pPr>
        <w:spacing w:line="360" w:lineRule="auto"/>
        <w:rPr>
          <w:rFonts w:cs="Times New Roman"/>
          <w:szCs w:val="24"/>
        </w:rPr>
      </w:pPr>
    </w:p>
    <w:p w14:paraId="22477876" w14:textId="77777777" w:rsidR="00980114" w:rsidRDefault="00DA32E6" w:rsidP="000C15F2">
      <w:pPr>
        <w:spacing w:line="360" w:lineRule="auto"/>
        <w:rPr>
          <w:rFonts w:cs="Times New Roman"/>
          <w:b/>
          <w:sz w:val="28"/>
          <w:szCs w:val="24"/>
        </w:rPr>
      </w:pPr>
      <w:r>
        <w:rPr>
          <w:rFonts w:cs="Times New Roman"/>
          <w:b/>
          <w:sz w:val="28"/>
          <w:szCs w:val="24"/>
        </w:rPr>
        <w:t>Zajęcia 17</w:t>
      </w:r>
      <w:r w:rsidR="00980114" w:rsidRPr="00980114">
        <w:rPr>
          <w:rFonts w:cs="Times New Roman"/>
          <w:b/>
          <w:sz w:val="28"/>
          <w:szCs w:val="24"/>
        </w:rPr>
        <w:t xml:space="preserve">. </w:t>
      </w:r>
      <w:r w:rsidRPr="00DA32E6">
        <w:rPr>
          <w:rFonts w:cs="Times New Roman"/>
          <w:b/>
          <w:sz w:val="28"/>
          <w:szCs w:val="24"/>
        </w:rPr>
        <w:t>Wady oświadczeń woli i skutek wadliwości</w:t>
      </w:r>
    </w:p>
    <w:p w14:paraId="2AE4F925" w14:textId="77777777" w:rsidR="00D52D93" w:rsidRDefault="00D52D93" w:rsidP="00EC0855">
      <w:pPr>
        <w:spacing w:line="360" w:lineRule="auto"/>
        <w:rPr>
          <w:bCs/>
          <w:szCs w:val="24"/>
        </w:rPr>
      </w:pPr>
      <w:r>
        <w:rPr>
          <w:bCs/>
          <w:szCs w:val="24"/>
        </w:rPr>
        <w:t>WADY OŚWIADCZEŃ WOLI</w:t>
      </w:r>
    </w:p>
    <w:p w14:paraId="2D36D5B6" w14:textId="77777777" w:rsidR="00D52D93" w:rsidRDefault="00D52D93" w:rsidP="00EC0855">
      <w:pPr>
        <w:spacing w:line="360" w:lineRule="auto"/>
        <w:rPr>
          <w:bCs/>
          <w:szCs w:val="24"/>
        </w:rPr>
      </w:pPr>
      <w:r>
        <w:rPr>
          <w:bCs/>
          <w:szCs w:val="24"/>
        </w:rPr>
        <w:t>Wadami w oświadczeniach woli nazywamy nieprawidłowościami związanymi z podejmowaniem lub wyrażaniem oświadczenia woli. Dotyczą one stanów wiedzy lub psychiki osoby, które towarzyszą jej podczas składania oświadczenia woli.</w:t>
      </w:r>
    </w:p>
    <w:p w14:paraId="2BB175B8" w14:textId="77777777" w:rsidR="00900489" w:rsidRPr="00900489" w:rsidRDefault="00900489" w:rsidP="00EC0855">
      <w:pPr>
        <w:spacing w:line="360" w:lineRule="auto"/>
        <w:rPr>
          <w:bCs/>
          <w:szCs w:val="24"/>
          <w:u w:val="single"/>
        </w:rPr>
      </w:pPr>
      <w:r w:rsidRPr="00900489">
        <w:rPr>
          <w:bCs/>
          <w:szCs w:val="24"/>
          <w:u w:val="single"/>
        </w:rPr>
        <w:t>Skutki wadliwości oświadczenia woli</w:t>
      </w:r>
    </w:p>
    <w:p w14:paraId="51FDDC13" w14:textId="77777777" w:rsidR="00900489" w:rsidRDefault="00900489" w:rsidP="00EC0855">
      <w:pPr>
        <w:spacing w:line="360" w:lineRule="auto"/>
        <w:rPr>
          <w:bCs/>
          <w:szCs w:val="24"/>
        </w:rPr>
      </w:pPr>
      <w:r w:rsidRPr="00900489">
        <w:rPr>
          <w:b/>
          <w:bCs/>
          <w:szCs w:val="24"/>
        </w:rPr>
        <w:t>Nieważność</w:t>
      </w:r>
      <w:r>
        <w:rPr>
          <w:bCs/>
          <w:szCs w:val="24"/>
        </w:rPr>
        <w:t>, zwana też nieważnością bezwzględną czynności prawnej – w tym wypadku czynność prawna od chwili jej dokonania nie wywołuje skutków prawnych.</w:t>
      </w:r>
    </w:p>
    <w:p w14:paraId="12F0A2A4" w14:textId="77777777" w:rsidR="00900489" w:rsidRDefault="00900489" w:rsidP="00EC0855">
      <w:pPr>
        <w:spacing w:line="360" w:lineRule="auto"/>
        <w:rPr>
          <w:bCs/>
          <w:szCs w:val="24"/>
        </w:rPr>
      </w:pPr>
      <w:r w:rsidRPr="00900489">
        <w:rPr>
          <w:b/>
          <w:bCs/>
          <w:szCs w:val="24"/>
        </w:rPr>
        <w:t>Wzruszalność</w:t>
      </w:r>
      <w:r>
        <w:rPr>
          <w:bCs/>
          <w:szCs w:val="24"/>
        </w:rPr>
        <w:t>, zwana też względną nieważnością – gdy czynności prawne od momentu ich dokonania wywołują skutki prawne, lecz dopuszczona jest możliwość definitywnego unieważnienia tych czynności, a co za tym idzie też jej skutków.</w:t>
      </w:r>
    </w:p>
    <w:p w14:paraId="349C29F9" w14:textId="77777777" w:rsidR="00D52D93" w:rsidRPr="00900489" w:rsidRDefault="00D52D93" w:rsidP="00EC0855">
      <w:pPr>
        <w:spacing w:line="360" w:lineRule="auto"/>
        <w:rPr>
          <w:bCs/>
          <w:szCs w:val="24"/>
          <w:u w:val="single"/>
        </w:rPr>
      </w:pPr>
      <w:r w:rsidRPr="00900489">
        <w:rPr>
          <w:bCs/>
          <w:szCs w:val="24"/>
          <w:u w:val="single"/>
        </w:rPr>
        <w:t>Wady skutkujące bezwzględną nieważnością oświadczenia:</w:t>
      </w:r>
    </w:p>
    <w:p w14:paraId="6602F85E" w14:textId="77777777" w:rsidR="00D52D93" w:rsidRDefault="00D52D93" w:rsidP="00D52D93">
      <w:pPr>
        <w:pStyle w:val="Akapitzlist"/>
        <w:numPr>
          <w:ilvl w:val="0"/>
          <w:numId w:val="36"/>
        </w:numPr>
        <w:spacing w:line="360" w:lineRule="auto"/>
        <w:rPr>
          <w:bCs/>
          <w:szCs w:val="24"/>
        </w:rPr>
      </w:pPr>
      <w:r>
        <w:rPr>
          <w:bCs/>
          <w:szCs w:val="24"/>
        </w:rPr>
        <w:t>brak świadomości i swobody (art. 82. KC),</w:t>
      </w:r>
    </w:p>
    <w:p w14:paraId="1AFF0FDC" w14:textId="77777777" w:rsidR="00D52D93" w:rsidRDefault="00D52D93" w:rsidP="00D52D93">
      <w:pPr>
        <w:pStyle w:val="Akapitzlist"/>
        <w:numPr>
          <w:ilvl w:val="0"/>
          <w:numId w:val="36"/>
        </w:numPr>
        <w:spacing w:line="360" w:lineRule="auto"/>
        <w:rPr>
          <w:bCs/>
          <w:szCs w:val="24"/>
        </w:rPr>
      </w:pPr>
      <w:r>
        <w:rPr>
          <w:bCs/>
          <w:szCs w:val="24"/>
        </w:rPr>
        <w:t>pozorność (art. 83. KC).</w:t>
      </w:r>
    </w:p>
    <w:p w14:paraId="46101901" w14:textId="77777777" w:rsidR="00D52D93" w:rsidRPr="00900489" w:rsidRDefault="00D52D93" w:rsidP="00D52D93">
      <w:pPr>
        <w:spacing w:line="360" w:lineRule="auto"/>
        <w:rPr>
          <w:bCs/>
          <w:szCs w:val="24"/>
          <w:u w:val="single"/>
        </w:rPr>
      </w:pPr>
      <w:r w:rsidRPr="00900489">
        <w:rPr>
          <w:bCs/>
          <w:szCs w:val="24"/>
          <w:u w:val="single"/>
        </w:rPr>
        <w:t>Wady skutkujące względną nieważnością oświadczenia to:</w:t>
      </w:r>
    </w:p>
    <w:p w14:paraId="729C0A09" w14:textId="77777777" w:rsidR="00D52D93" w:rsidRDefault="00D52D93" w:rsidP="00D52D93">
      <w:pPr>
        <w:pStyle w:val="Akapitzlist"/>
        <w:numPr>
          <w:ilvl w:val="0"/>
          <w:numId w:val="37"/>
        </w:numPr>
        <w:spacing w:line="360" w:lineRule="auto"/>
        <w:rPr>
          <w:bCs/>
          <w:szCs w:val="24"/>
        </w:rPr>
      </w:pPr>
      <w:r>
        <w:rPr>
          <w:bCs/>
          <w:szCs w:val="24"/>
        </w:rPr>
        <w:t>błąd (art. 84. KC),</w:t>
      </w:r>
    </w:p>
    <w:p w14:paraId="6739F0D4" w14:textId="77777777" w:rsidR="00D52D93" w:rsidRDefault="00D52D93" w:rsidP="00D52D93">
      <w:pPr>
        <w:pStyle w:val="Akapitzlist"/>
        <w:numPr>
          <w:ilvl w:val="0"/>
          <w:numId w:val="37"/>
        </w:numPr>
        <w:spacing w:line="360" w:lineRule="auto"/>
        <w:rPr>
          <w:bCs/>
          <w:szCs w:val="24"/>
        </w:rPr>
      </w:pPr>
      <w:r>
        <w:rPr>
          <w:bCs/>
          <w:szCs w:val="24"/>
        </w:rPr>
        <w:t>podstęp (art. 86. KC),</w:t>
      </w:r>
    </w:p>
    <w:p w14:paraId="34D8F512" w14:textId="77777777" w:rsidR="00D52D93" w:rsidRPr="00D52D93" w:rsidRDefault="00D52D93" w:rsidP="00D52D93">
      <w:pPr>
        <w:pStyle w:val="Akapitzlist"/>
        <w:numPr>
          <w:ilvl w:val="0"/>
          <w:numId w:val="37"/>
        </w:numPr>
        <w:spacing w:line="360" w:lineRule="auto"/>
        <w:rPr>
          <w:bCs/>
          <w:szCs w:val="24"/>
        </w:rPr>
      </w:pPr>
      <w:r>
        <w:rPr>
          <w:bCs/>
          <w:szCs w:val="24"/>
        </w:rPr>
        <w:t>groźba (art. 87. KC).</w:t>
      </w:r>
    </w:p>
    <w:p w14:paraId="023E7747" w14:textId="77777777" w:rsidR="002E17B1" w:rsidRPr="00900489" w:rsidRDefault="00900489" w:rsidP="00555C97">
      <w:pPr>
        <w:spacing w:before="240" w:after="0" w:line="360" w:lineRule="auto"/>
        <w:rPr>
          <w:szCs w:val="24"/>
          <w:u w:val="single"/>
        </w:rPr>
      </w:pPr>
      <w:r w:rsidRPr="00900489">
        <w:rPr>
          <w:szCs w:val="24"/>
          <w:u w:val="single"/>
        </w:rPr>
        <w:lastRenderedPageBreak/>
        <w:t>Brak świadomości lub swobody</w:t>
      </w:r>
    </w:p>
    <w:p w14:paraId="31729A10" w14:textId="77777777" w:rsidR="00900489" w:rsidRDefault="00900489" w:rsidP="00C65CB2">
      <w:pPr>
        <w:spacing w:after="0" w:line="360" w:lineRule="auto"/>
        <w:ind w:firstLine="708"/>
        <w:rPr>
          <w:szCs w:val="24"/>
        </w:rPr>
      </w:pPr>
      <w:r w:rsidRPr="00900489">
        <w:rPr>
          <w:szCs w:val="24"/>
        </w:rPr>
        <w:t>Nieważne jest oświadczenie woli złożone przez osobę, która z jakichkolwiek powodów znajdowała się w stanie wyłączającym świadome albo swobodne powzięcie decyzji i wyrażenie woli. Dotyczy to w szczególności choroby psychicznej, niedorozwoju umysłowego albo innego, chociażby nawet przemijającego, zaburzenia czynności psychicznych</w:t>
      </w:r>
      <w:r>
        <w:rPr>
          <w:szCs w:val="24"/>
        </w:rPr>
        <w:t xml:space="preserve"> (art. 82. KC)</w:t>
      </w:r>
      <w:r w:rsidRPr="00900489">
        <w:rPr>
          <w:szCs w:val="24"/>
        </w:rPr>
        <w:t>.</w:t>
      </w:r>
      <w:r>
        <w:rPr>
          <w:szCs w:val="24"/>
        </w:rPr>
        <w:t xml:space="preserve"> Przyczynami braku swobody mogą być: stany depresyjne, choroby psychiczne, narkomania, </w:t>
      </w:r>
      <w:r w:rsidR="00555C97">
        <w:rPr>
          <w:szCs w:val="24"/>
        </w:rPr>
        <w:t>alkoholizm itd.).</w:t>
      </w:r>
    </w:p>
    <w:p w14:paraId="148D254B" w14:textId="77777777" w:rsidR="00555C97" w:rsidRPr="00555C97" w:rsidRDefault="00555C97" w:rsidP="00555C97">
      <w:pPr>
        <w:spacing w:before="240" w:after="0" w:line="360" w:lineRule="auto"/>
        <w:rPr>
          <w:szCs w:val="24"/>
          <w:u w:val="single"/>
        </w:rPr>
      </w:pPr>
      <w:r w:rsidRPr="00555C97">
        <w:rPr>
          <w:szCs w:val="24"/>
          <w:u w:val="single"/>
        </w:rPr>
        <w:t xml:space="preserve">Pozorność </w:t>
      </w:r>
    </w:p>
    <w:p w14:paraId="05DC71AF" w14:textId="77777777" w:rsidR="002E17B1" w:rsidRDefault="00555C97" w:rsidP="00C65CB2">
      <w:pPr>
        <w:spacing w:after="0" w:line="360" w:lineRule="auto"/>
        <w:ind w:firstLine="708"/>
        <w:rPr>
          <w:szCs w:val="24"/>
        </w:rPr>
      </w:pPr>
      <w:r w:rsidRPr="00555C97">
        <w:rPr>
          <w:szCs w:val="24"/>
        </w:rPr>
        <w:t>Nieważne jest oświadczenie woli złożone drugiej stronie za jej zgodą dla pozoru. Jeżeli oświadczenie takie zostało złożone dla ukrycia innej czynności prawnej, ważność oświadczenia ocenia się według właściwości tej czynności</w:t>
      </w:r>
      <w:r>
        <w:rPr>
          <w:szCs w:val="24"/>
        </w:rPr>
        <w:t xml:space="preserve"> (</w:t>
      </w:r>
      <w:r w:rsidRPr="00555C97">
        <w:rPr>
          <w:szCs w:val="24"/>
        </w:rPr>
        <w:t>Art. 83. § 1.</w:t>
      </w:r>
      <w:r>
        <w:rPr>
          <w:szCs w:val="24"/>
        </w:rPr>
        <w:t xml:space="preserve"> KC)</w:t>
      </w:r>
      <w:r w:rsidRPr="00555C97">
        <w:rPr>
          <w:szCs w:val="24"/>
        </w:rPr>
        <w:t>.</w:t>
      </w:r>
    </w:p>
    <w:p w14:paraId="75020C54" w14:textId="77777777" w:rsidR="00900489" w:rsidRPr="00555C97" w:rsidRDefault="00555C97" w:rsidP="00555C97">
      <w:pPr>
        <w:spacing w:before="240" w:after="0" w:line="360" w:lineRule="auto"/>
        <w:rPr>
          <w:szCs w:val="24"/>
          <w:u w:val="single"/>
        </w:rPr>
      </w:pPr>
      <w:r w:rsidRPr="00555C97">
        <w:rPr>
          <w:szCs w:val="24"/>
          <w:u w:val="single"/>
        </w:rPr>
        <w:t>Błąd</w:t>
      </w:r>
    </w:p>
    <w:p w14:paraId="6A9FF6D6" w14:textId="77777777" w:rsidR="00555C97" w:rsidRDefault="00555C97" w:rsidP="00C65CB2">
      <w:pPr>
        <w:spacing w:after="0" w:line="360" w:lineRule="auto"/>
        <w:ind w:firstLine="360"/>
        <w:rPr>
          <w:szCs w:val="24"/>
        </w:rPr>
      </w:pPr>
      <w:r w:rsidRPr="00555C97">
        <w:rPr>
          <w:szCs w:val="24"/>
        </w:rPr>
        <w:t xml:space="preserve">W razie </w:t>
      </w:r>
      <w:r w:rsidRPr="00555C97">
        <w:rPr>
          <w:b/>
          <w:szCs w:val="24"/>
        </w:rPr>
        <w:t>błędu</w:t>
      </w:r>
      <w:r w:rsidRPr="00555C97">
        <w:rPr>
          <w:szCs w:val="24"/>
        </w:rPr>
        <w:t xml:space="preserve"> co do treści czynności prawnej można uchylić się od skutków prawnych swego oświadczenia woli. Jeżeli jednak oświadczenie woli było złożone innej osobie, uchylenie się od jego skutków prawnych dopuszczalne jest tylko wtedy, gdy</w:t>
      </w:r>
      <w:r>
        <w:rPr>
          <w:szCs w:val="24"/>
        </w:rPr>
        <w:t>:</w:t>
      </w:r>
      <w:r w:rsidRPr="00555C97">
        <w:rPr>
          <w:szCs w:val="24"/>
        </w:rPr>
        <w:t xml:space="preserve"> </w:t>
      </w:r>
    </w:p>
    <w:p w14:paraId="15CD678E" w14:textId="77777777" w:rsidR="00555C97" w:rsidRDefault="00555C97" w:rsidP="00555C97">
      <w:pPr>
        <w:pStyle w:val="Akapitzlist"/>
        <w:numPr>
          <w:ilvl w:val="0"/>
          <w:numId w:val="38"/>
        </w:numPr>
        <w:spacing w:after="0" w:line="360" w:lineRule="auto"/>
        <w:rPr>
          <w:szCs w:val="24"/>
        </w:rPr>
      </w:pPr>
      <w:r w:rsidRPr="00555C97">
        <w:rPr>
          <w:szCs w:val="24"/>
        </w:rPr>
        <w:t xml:space="preserve">błąd został wywołany przez tę osobę, chociażby bez jej winy, </w:t>
      </w:r>
    </w:p>
    <w:p w14:paraId="040A7713" w14:textId="77777777" w:rsidR="00555C97" w:rsidRDefault="00555C97" w:rsidP="00555C97">
      <w:pPr>
        <w:pStyle w:val="Akapitzlist"/>
        <w:numPr>
          <w:ilvl w:val="0"/>
          <w:numId w:val="38"/>
        </w:numPr>
        <w:spacing w:after="0" w:line="360" w:lineRule="auto"/>
        <w:rPr>
          <w:szCs w:val="24"/>
        </w:rPr>
      </w:pPr>
      <w:r w:rsidRPr="00555C97">
        <w:rPr>
          <w:szCs w:val="24"/>
        </w:rPr>
        <w:t xml:space="preserve">albo gdy wiedziała ona o błędzie lub mogła z łatwością błąd zauważyć; </w:t>
      </w:r>
    </w:p>
    <w:p w14:paraId="2086C821" w14:textId="77777777" w:rsidR="00555C97" w:rsidRPr="00555C97" w:rsidRDefault="00555C97" w:rsidP="00555C97">
      <w:pPr>
        <w:spacing w:after="0" w:line="360" w:lineRule="auto"/>
        <w:rPr>
          <w:szCs w:val="24"/>
        </w:rPr>
      </w:pPr>
      <w:r w:rsidRPr="00555C97">
        <w:rPr>
          <w:szCs w:val="24"/>
        </w:rPr>
        <w:t>ograniczenie to nie dotyczy czynności prawnej nieodpłatnej (Art. 84. § 1. KC).</w:t>
      </w:r>
    </w:p>
    <w:p w14:paraId="6DB8649D" w14:textId="77777777" w:rsidR="00900489" w:rsidRPr="00C65CB2" w:rsidRDefault="00C65CB2" w:rsidP="001B3A53">
      <w:pPr>
        <w:spacing w:after="0" w:line="360" w:lineRule="auto"/>
        <w:rPr>
          <w:szCs w:val="24"/>
          <w:u w:val="single"/>
        </w:rPr>
      </w:pPr>
      <w:r w:rsidRPr="00C65CB2">
        <w:rPr>
          <w:szCs w:val="24"/>
          <w:u w:val="single"/>
        </w:rPr>
        <w:t>Podstęp</w:t>
      </w:r>
    </w:p>
    <w:p w14:paraId="55F8D7F1" w14:textId="77777777" w:rsidR="00C65CB2" w:rsidRPr="00C65CB2" w:rsidRDefault="00C65CB2" w:rsidP="00C65CB2">
      <w:pPr>
        <w:spacing w:after="0" w:line="360" w:lineRule="auto"/>
        <w:ind w:firstLine="708"/>
        <w:rPr>
          <w:szCs w:val="24"/>
        </w:rPr>
      </w:pPr>
      <w:r w:rsidRPr="00C65CB2">
        <w:rPr>
          <w:szCs w:val="24"/>
        </w:rPr>
        <w:t>Jeżeli błąd wywołała druga strona podstępnie, uchylenie się od skutków prawnych oświadczenia woli złożonego pod wpływem błędu może nastąpić także wtedy, gdy błąd nie był istotny, jak również wtedy, gdy nie dotyczył treści czynności prawnej</w:t>
      </w:r>
      <w:r>
        <w:rPr>
          <w:szCs w:val="24"/>
        </w:rPr>
        <w:t xml:space="preserve"> (</w:t>
      </w:r>
      <w:r w:rsidRPr="00C65CB2">
        <w:rPr>
          <w:szCs w:val="24"/>
        </w:rPr>
        <w:t>Art. 86. § 1.</w:t>
      </w:r>
      <w:r>
        <w:rPr>
          <w:szCs w:val="24"/>
        </w:rPr>
        <w:t xml:space="preserve"> KC)</w:t>
      </w:r>
      <w:r w:rsidRPr="00C65CB2">
        <w:rPr>
          <w:szCs w:val="24"/>
        </w:rPr>
        <w:t>.</w:t>
      </w:r>
    </w:p>
    <w:p w14:paraId="46810A99" w14:textId="77777777" w:rsidR="002E17B1" w:rsidRDefault="00C65CB2" w:rsidP="00C65CB2">
      <w:pPr>
        <w:spacing w:after="0" w:line="360" w:lineRule="auto"/>
        <w:ind w:firstLine="708"/>
        <w:rPr>
          <w:szCs w:val="24"/>
        </w:rPr>
      </w:pPr>
      <w:r w:rsidRPr="00C65CB2">
        <w:rPr>
          <w:szCs w:val="24"/>
        </w:rPr>
        <w:t>Podstęp osoby trzeciej jest jednoznaczny z podstępem strony, jeżeli ta o podstępie wiedziała i nie zawiadomiła o nim drugiej strony albo jeżeli czynność prawna była nieodpłatna</w:t>
      </w:r>
      <w:r>
        <w:rPr>
          <w:szCs w:val="24"/>
        </w:rPr>
        <w:t xml:space="preserve"> (Art. 86. § 2</w:t>
      </w:r>
      <w:r w:rsidRPr="00C65CB2">
        <w:rPr>
          <w:szCs w:val="24"/>
        </w:rPr>
        <w:t>.</w:t>
      </w:r>
      <w:r>
        <w:rPr>
          <w:szCs w:val="24"/>
        </w:rPr>
        <w:t xml:space="preserve"> KC)</w:t>
      </w:r>
      <w:r w:rsidRPr="00C65CB2">
        <w:rPr>
          <w:szCs w:val="24"/>
        </w:rPr>
        <w:t>.</w:t>
      </w:r>
    </w:p>
    <w:p w14:paraId="5F806573" w14:textId="77777777" w:rsidR="00C65CB2" w:rsidRDefault="00C65CB2" w:rsidP="001B3A53">
      <w:pPr>
        <w:spacing w:after="0" w:line="360" w:lineRule="auto"/>
        <w:rPr>
          <w:szCs w:val="24"/>
        </w:rPr>
      </w:pPr>
      <w:r>
        <w:rPr>
          <w:szCs w:val="24"/>
        </w:rPr>
        <w:t>Podstępem może być: utwierdzanie kogoś w błędnym przekonaniu, podawanie nieprawdziwych informacji lub przemilczanie istotnych dla sprawy informacji.</w:t>
      </w:r>
    </w:p>
    <w:p w14:paraId="5BC0CCC2" w14:textId="77777777" w:rsidR="00C65CB2" w:rsidRPr="00C65CB2" w:rsidRDefault="00C65CB2" w:rsidP="001B3A53">
      <w:pPr>
        <w:spacing w:after="0" w:line="360" w:lineRule="auto"/>
        <w:rPr>
          <w:szCs w:val="24"/>
          <w:u w:val="single"/>
        </w:rPr>
      </w:pPr>
      <w:r w:rsidRPr="00C65CB2">
        <w:rPr>
          <w:szCs w:val="24"/>
          <w:u w:val="single"/>
        </w:rPr>
        <w:t>Groźba</w:t>
      </w:r>
    </w:p>
    <w:p w14:paraId="0E7C2278" w14:textId="77777777" w:rsidR="00C65CB2" w:rsidRDefault="00C65CB2" w:rsidP="001B3A53">
      <w:pPr>
        <w:spacing w:after="0" w:line="360" w:lineRule="auto"/>
        <w:rPr>
          <w:szCs w:val="24"/>
        </w:rPr>
      </w:pPr>
      <w:r w:rsidRPr="00C65CB2">
        <w:rPr>
          <w:szCs w:val="24"/>
        </w:rPr>
        <w:t>Kto złożył oświadczenie woli pod wpływem bezprawnej groźby drugiej strony lub osoby trzeciej, ten może uchylić się od skutków prawnych swego oświadczenia, jeżeli z okoliczności wynika, że mógł się obawiać, iż jemu samemu lub innej osobie grozi poważne niebezpieczeństwo osobiste lub majątkowe</w:t>
      </w:r>
      <w:r>
        <w:rPr>
          <w:szCs w:val="24"/>
        </w:rPr>
        <w:t xml:space="preserve"> (</w:t>
      </w:r>
      <w:r w:rsidRPr="00C65CB2">
        <w:rPr>
          <w:szCs w:val="24"/>
        </w:rPr>
        <w:t>Art. 87.</w:t>
      </w:r>
      <w:r>
        <w:rPr>
          <w:szCs w:val="24"/>
        </w:rPr>
        <w:t xml:space="preserve"> KC)</w:t>
      </w:r>
      <w:r w:rsidRPr="00C65CB2">
        <w:rPr>
          <w:szCs w:val="24"/>
        </w:rPr>
        <w:t>.</w:t>
      </w:r>
    </w:p>
    <w:p w14:paraId="4B430FF6" w14:textId="77777777" w:rsidR="00C65CB2" w:rsidRDefault="00C65CB2" w:rsidP="001B3A53">
      <w:pPr>
        <w:spacing w:after="0" w:line="360" w:lineRule="auto"/>
        <w:rPr>
          <w:szCs w:val="24"/>
        </w:rPr>
      </w:pPr>
      <w:r>
        <w:rPr>
          <w:szCs w:val="24"/>
        </w:rPr>
        <w:t>Groźbą może być: przymus psychiczny, wymuszenie.</w:t>
      </w:r>
    </w:p>
    <w:p w14:paraId="66C83D50" w14:textId="77777777" w:rsidR="00C65CB2" w:rsidRPr="00C65CB2" w:rsidRDefault="00C65CB2" w:rsidP="001B3A53">
      <w:pPr>
        <w:spacing w:after="0" w:line="360" w:lineRule="auto"/>
        <w:rPr>
          <w:szCs w:val="24"/>
          <w:u w:val="single"/>
        </w:rPr>
      </w:pPr>
      <w:r w:rsidRPr="00C65CB2">
        <w:rPr>
          <w:szCs w:val="24"/>
          <w:u w:val="single"/>
        </w:rPr>
        <w:lastRenderedPageBreak/>
        <w:t>Wzruszalność</w:t>
      </w:r>
    </w:p>
    <w:p w14:paraId="2AE503F3" w14:textId="77777777" w:rsidR="00CE2231" w:rsidRPr="00CE2231" w:rsidRDefault="00CE2231" w:rsidP="00CE2231">
      <w:pPr>
        <w:spacing w:after="0" w:line="360" w:lineRule="auto"/>
        <w:rPr>
          <w:szCs w:val="24"/>
        </w:rPr>
      </w:pPr>
      <w:r w:rsidRPr="00CE2231">
        <w:rPr>
          <w:szCs w:val="24"/>
        </w:rPr>
        <w:t>Uchylenie się od skutków prawnych oświadczenia woli, które zostało złożone innej osobie pod wpływem błędu lub groźby, następuje przez oświadczenie złożone tej osobie na piśmie</w:t>
      </w:r>
      <w:r>
        <w:rPr>
          <w:szCs w:val="24"/>
        </w:rPr>
        <w:t xml:space="preserve"> (</w:t>
      </w:r>
      <w:r w:rsidRPr="00CE2231">
        <w:rPr>
          <w:szCs w:val="24"/>
        </w:rPr>
        <w:t>Art. 88. § 1.</w:t>
      </w:r>
      <w:r>
        <w:rPr>
          <w:szCs w:val="24"/>
        </w:rPr>
        <w:t xml:space="preserve"> KC)</w:t>
      </w:r>
      <w:r w:rsidRPr="00CE2231">
        <w:rPr>
          <w:szCs w:val="24"/>
        </w:rPr>
        <w:t>.</w:t>
      </w:r>
    </w:p>
    <w:p w14:paraId="2ED54B9C" w14:textId="77777777" w:rsidR="00CE2231" w:rsidRDefault="00CE2231" w:rsidP="00CE2231">
      <w:pPr>
        <w:spacing w:after="0" w:line="360" w:lineRule="auto"/>
        <w:rPr>
          <w:szCs w:val="24"/>
        </w:rPr>
      </w:pPr>
      <w:r w:rsidRPr="00CE2231">
        <w:rPr>
          <w:szCs w:val="24"/>
        </w:rPr>
        <w:t xml:space="preserve">§ 2. Uprawnienie do uchylenia się wygasa: </w:t>
      </w:r>
    </w:p>
    <w:p w14:paraId="47C25A57" w14:textId="77777777" w:rsidR="00CE2231" w:rsidRDefault="00CE2231" w:rsidP="00CE2231">
      <w:pPr>
        <w:pStyle w:val="Akapitzlist"/>
        <w:numPr>
          <w:ilvl w:val="0"/>
          <w:numId w:val="39"/>
        </w:numPr>
        <w:spacing w:after="0" w:line="360" w:lineRule="auto"/>
        <w:rPr>
          <w:szCs w:val="24"/>
        </w:rPr>
      </w:pPr>
      <w:r w:rsidRPr="00CE2231">
        <w:rPr>
          <w:szCs w:val="24"/>
        </w:rPr>
        <w:t xml:space="preserve">w razie błędu – z upływem roku od jego wykrycia, </w:t>
      </w:r>
    </w:p>
    <w:p w14:paraId="06109E11" w14:textId="77777777" w:rsidR="00C65CB2" w:rsidRPr="00CE2231" w:rsidRDefault="00CE2231" w:rsidP="00CE2231">
      <w:pPr>
        <w:pStyle w:val="Akapitzlist"/>
        <w:numPr>
          <w:ilvl w:val="0"/>
          <w:numId w:val="39"/>
        </w:numPr>
        <w:spacing w:after="0" w:line="360" w:lineRule="auto"/>
        <w:rPr>
          <w:szCs w:val="24"/>
        </w:rPr>
      </w:pPr>
      <w:r w:rsidRPr="00CE2231">
        <w:rPr>
          <w:szCs w:val="24"/>
        </w:rPr>
        <w:t>a w razie groźby – z upływem roku od chwili, kiedy stan obawy ustał.</w:t>
      </w:r>
    </w:p>
    <w:p w14:paraId="468C9937" w14:textId="77777777" w:rsidR="00C65CB2" w:rsidRDefault="00C65CB2" w:rsidP="001B3A53">
      <w:pPr>
        <w:spacing w:after="0" w:line="360" w:lineRule="auto"/>
        <w:rPr>
          <w:szCs w:val="24"/>
        </w:rPr>
      </w:pPr>
    </w:p>
    <w:p w14:paraId="1ADE9ECF" w14:textId="77777777" w:rsidR="00C65CB2" w:rsidRDefault="00F52990" w:rsidP="001B3A53">
      <w:pPr>
        <w:spacing w:after="0" w:line="360" w:lineRule="auto"/>
        <w:rPr>
          <w:szCs w:val="24"/>
        </w:rPr>
      </w:pPr>
      <w:r w:rsidRPr="00F52990">
        <w:rPr>
          <w:rFonts w:cs="Times New Roman"/>
          <w:b/>
          <w:sz w:val="28"/>
          <w:szCs w:val="24"/>
        </w:rPr>
        <w:t xml:space="preserve">Zajęcia 18. </w:t>
      </w:r>
      <w:r w:rsidR="004E0696" w:rsidRPr="004E0696">
        <w:rPr>
          <w:rFonts w:cs="Times New Roman"/>
          <w:b/>
          <w:sz w:val="28"/>
          <w:szCs w:val="24"/>
        </w:rPr>
        <w:t xml:space="preserve">Forma czynności prawnych i skutki jej niezachowania </w:t>
      </w:r>
    </w:p>
    <w:p w14:paraId="697F3E25" w14:textId="77777777" w:rsidR="00F52990" w:rsidRDefault="004E0696" w:rsidP="001B3A53">
      <w:pPr>
        <w:spacing w:after="0" w:line="360" w:lineRule="auto"/>
        <w:rPr>
          <w:szCs w:val="24"/>
        </w:rPr>
      </w:pPr>
      <w:r>
        <w:rPr>
          <w:szCs w:val="24"/>
        </w:rPr>
        <w:t>Wyróżniamy następujące formy czynności prawnych:</w:t>
      </w:r>
    </w:p>
    <w:p w14:paraId="517FEE34" w14:textId="77777777" w:rsidR="004E0696" w:rsidRDefault="004E0696" w:rsidP="004E0696">
      <w:pPr>
        <w:pStyle w:val="Akapitzlist"/>
        <w:numPr>
          <w:ilvl w:val="0"/>
          <w:numId w:val="40"/>
        </w:numPr>
        <w:spacing w:after="0" w:line="360" w:lineRule="auto"/>
        <w:rPr>
          <w:szCs w:val="24"/>
        </w:rPr>
      </w:pPr>
      <w:r>
        <w:rPr>
          <w:szCs w:val="24"/>
        </w:rPr>
        <w:t>pod rygorem nieważności (ad solemnitatem),</w:t>
      </w:r>
    </w:p>
    <w:p w14:paraId="33E215C9" w14:textId="77777777" w:rsidR="004E0696" w:rsidRDefault="004E0696" w:rsidP="004E0696">
      <w:pPr>
        <w:pStyle w:val="Akapitzlist"/>
        <w:numPr>
          <w:ilvl w:val="0"/>
          <w:numId w:val="40"/>
        </w:numPr>
        <w:spacing w:after="0" w:line="360" w:lineRule="auto"/>
        <w:rPr>
          <w:szCs w:val="24"/>
        </w:rPr>
      </w:pPr>
      <w:r>
        <w:rPr>
          <w:szCs w:val="24"/>
        </w:rPr>
        <w:t>dla celów dowodowych (ad probationem),</w:t>
      </w:r>
    </w:p>
    <w:p w14:paraId="036A9225" w14:textId="77777777" w:rsidR="004E0696" w:rsidRDefault="004E0696" w:rsidP="004E0696">
      <w:pPr>
        <w:pStyle w:val="Akapitzlist"/>
        <w:numPr>
          <w:ilvl w:val="0"/>
          <w:numId w:val="40"/>
        </w:numPr>
        <w:spacing w:after="0" w:line="360" w:lineRule="auto"/>
        <w:rPr>
          <w:szCs w:val="24"/>
        </w:rPr>
      </w:pPr>
      <w:r>
        <w:rPr>
          <w:szCs w:val="24"/>
        </w:rPr>
        <w:t xml:space="preserve">dla wywołania określonych skutków prawnych (ad </w:t>
      </w:r>
      <w:proofErr w:type="spellStart"/>
      <w:r>
        <w:rPr>
          <w:szCs w:val="24"/>
        </w:rPr>
        <w:t>eventum</w:t>
      </w:r>
      <w:proofErr w:type="spellEnd"/>
      <w:r>
        <w:rPr>
          <w:szCs w:val="24"/>
        </w:rPr>
        <w:t>).</w:t>
      </w:r>
    </w:p>
    <w:p w14:paraId="2A754BEA" w14:textId="77777777" w:rsidR="004E0696" w:rsidRPr="004E0696" w:rsidRDefault="004E0696" w:rsidP="004E0696">
      <w:pPr>
        <w:spacing w:after="0" w:line="360" w:lineRule="auto"/>
        <w:rPr>
          <w:szCs w:val="24"/>
          <w:u w:val="single"/>
        </w:rPr>
      </w:pPr>
      <w:r w:rsidRPr="004E0696">
        <w:rPr>
          <w:szCs w:val="24"/>
          <w:u w:val="single"/>
        </w:rPr>
        <w:t>Forma czynności prawnej pod rygorem nieważności</w:t>
      </w:r>
    </w:p>
    <w:p w14:paraId="70EE2BDE" w14:textId="77777777" w:rsidR="008973AB" w:rsidRDefault="008973AB" w:rsidP="004E0696">
      <w:pPr>
        <w:spacing w:after="0" w:line="360" w:lineRule="auto"/>
        <w:rPr>
          <w:szCs w:val="24"/>
        </w:rPr>
      </w:pPr>
      <w:r>
        <w:rPr>
          <w:szCs w:val="24"/>
        </w:rPr>
        <w:t>Niezachowanie tej formy skutkuje nieważnością czynności prawnej.</w:t>
      </w:r>
    </w:p>
    <w:p w14:paraId="7C15D802" w14:textId="77777777" w:rsidR="004E0696" w:rsidRPr="004E0696" w:rsidRDefault="004E0696" w:rsidP="008973AB">
      <w:pPr>
        <w:spacing w:after="0" w:line="360" w:lineRule="auto"/>
        <w:ind w:firstLine="708"/>
        <w:rPr>
          <w:szCs w:val="24"/>
        </w:rPr>
      </w:pPr>
      <w:r w:rsidRPr="004E0696">
        <w:rPr>
          <w:szCs w:val="24"/>
        </w:rPr>
        <w:t>Art. 73. § 1. Jeżeli ustawa zastrzega dla czynności prawnej formę pisemną, dokumentową albo elektroniczną, czynność dokonana bez zachowania zastrzeżonej formy jest nieważna tylko wtedy, gdy ustawa przewiduje rygor nieważności.</w:t>
      </w:r>
    </w:p>
    <w:p w14:paraId="6D0CC860" w14:textId="77777777" w:rsidR="004E0696" w:rsidRPr="004E0696" w:rsidRDefault="004E0696" w:rsidP="004E0696">
      <w:pPr>
        <w:spacing w:after="0" w:line="360" w:lineRule="auto"/>
        <w:rPr>
          <w:szCs w:val="24"/>
        </w:rPr>
      </w:pPr>
      <w:r w:rsidRPr="004E0696">
        <w:rPr>
          <w:szCs w:val="24"/>
        </w:rPr>
        <w:t>§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w:t>
      </w:r>
    </w:p>
    <w:p w14:paraId="1E6FEA43" w14:textId="77777777" w:rsidR="004E0696" w:rsidRDefault="004E0696" w:rsidP="008973AB">
      <w:pPr>
        <w:spacing w:after="0" w:line="360" w:lineRule="auto"/>
        <w:ind w:firstLine="708"/>
        <w:rPr>
          <w:szCs w:val="24"/>
        </w:rPr>
      </w:pPr>
      <w:r w:rsidRPr="004E0696">
        <w:rPr>
          <w:szCs w:val="24"/>
        </w:rPr>
        <w:t xml:space="preserve">Art. 76. Jeżeli strony zastrzegły w umowie, że określona czynność prawna między nimi ma być dokonana w szczególnej formie, </w:t>
      </w:r>
      <w:r w:rsidRPr="000B6482">
        <w:rPr>
          <w:b/>
          <w:szCs w:val="24"/>
        </w:rPr>
        <w:t>czynność ta dochodzi do skutku tylko przy zachowaniu zastrzeżonej formy</w:t>
      </w:r>
      <w:r w:rsidRPr="004E0696">
        <w:rPr>
          <w:szCs w:val="24"/>
        </w:rPr>
        <w:t>. Jednakże gdy strony zastrzegły dokonanie czynności w formie pisemnej, dokumentowej albo elektronicznej, nie określając skutków niezachowania tej formy, w razie wątpliwości poczytuje się, że była ona zastrzeżona wyłącznie dla celów dowodowych.</w:t>
      </w:r>
    </w:p>
    <w:p w14:paraId="467AC8A8" w14:textId="77777777" w:rsidR="004E0696" w:rsidRDefault="008973AB" w:rsidP="001B3A53">
      <w:pPr>
        <w:spacing w:after="0" w:line="360" w:lineRule="auto"/>
        <w:rPr>
          <w:szCs w:val="24"/>
          <w:u w:val="single"/>
        </w:rPr>
      </w:pPr>
      <w:r w:rsidRPr="004E0696">
        <w:rPr>
          <w:szCs w:val="24"/>
          <w:u w:val="single"/>
        </w:rPr>
        <w:t>Forma czynności prawnej</w:t>
      </w:r>
      <w:r>
        <w:rPr>
          <w:szCs w:val="24"/>
          <w:u w:val="single"/>
        </w:rPr>
        <w:t xml:space="preserve"> dla celów dowodowych</w:t>
      </w:r>
    </w:p>
    <w:p w14:paraId="6F70B756" w14:textId="77777777" w:rsidR="008973AB" w:rsidRDefault="008973AB" w:rsidP="008973AB">
      <w:pPr>
        <w:spacing w:after="0" w:line="360" w:lineRule="auto"/>
        <w:ind w:firstLine="708"/>
        <w:rPr>
          <w:szCs w:val="24"/>
        </w:rPr>
      </w:pPr>
      <w:r>
        <w:rPr>
          <w:szCs w:val="24"/>
        </w:rPr>
        <w:t>Jest pisemną formą i jej niezachowanie nie skutkuje nieważnością czynności prawnej, lecz ograniczeniem możliwości skorzystania z części środków dowodowych w przypadku wystąpienia sporu między stronami.</w:t>
      </w:r>
    </w:p>
    <w:p w14:paraId="52364412" w14:textId="77777777" w:rsidR="008973AB" w:rsidRPr="008973AB" w:rsidRDefault="008973AB" w:rsidP="008973AB">
      <w:pPr>
        <w:spacing w:after="0" w:line="360" w:lineRule="auto"/>
        <w:ind w:firstLine="708"/>
        <w:rPr>
          <w:szCs w:val="24"/>
        </w:rPr>
      </w:pPr>
      <w:r w:rsidRPr="008973AB">
        <w:rPr>
          <w:szCs w:val="24"/>
        </w:rPr>
        <w:lastRenderedPageBreak/>
        <w:t>Art. 74. § 1. Zastrzeżenie formy pisemnej, dokumentowej albo elektronicznej bez rygoru nieważności ma ten skutek, że w razie niezachowania zastrzeżonej formy nie jest w sporze dopuszczalny dowód z zeznań świadków lub z przesłuchania stron na fakt dokonania czynności. Przepisu tego nie stosuje się, gdy zachowanie formy pisemnej, dokumentowej albo elektronicznej jest zastrzeżone jedynie dla wywołania określonych skutków czynności prawnej.</w:t>
      </w:r>
    </w:p>
    <w:p w14:paraId="06DE3AB0" w14:textId="77777777" w:rsidR="00E73A47" w:rsidRDefault="00E73A47" w:rsidP="00E73A47">
      <w:pPr>
        <w:spacing w:after="0" w:line="360" w:lineRule="auto"/>
        <w:ind w:firstLine="708"/>
        <w:rPr>
          <w:szCs w:val="24"/>
        </w:rPr>
      </w:pPr>
      <w:r w:rsidRPr="00E73A47">
        <w:rPr>
          <w:szCs w:val="24"/>
        </w:rPr>
        <w:t>§ 2. Jednakże mimo niezachowania formy pisemnej, dokumentowej albo elektronicznej przewidzianej dla celów dowodowych dowód z zeznań świadków lub z przesłuchania stron jest dopuszczalny, jeżeli</w:t>
      </w:r>
      <w:r>
        <w:rPr>
          <w:szCs w:val="24"/>
        </w:rPr>
        <w:t>:</w:t>
      </w:r>
    </w:p>
    <w:p w14:paraId="167E24BE" w14:textId="77777777" w:rsidR="00E73A47" w:rsidRDefault="00E73A47" w:rsidP="00E73A47">
      <w:pPr>
        <w:pStyle w:val="Akapitzlist"/>
        <w:numPr>
          <w:ilvl w:val="0"/>
          <w:numId w:val="41"/>
        </w:numPr>
        <w:spacing w:after="0" w:line="360" w:lineRule="auto"/>
        <w:rPr>
          <w:szCs w:val="24"/>
        </w:rPr>
      </w:pPr>
      <w:r w:rsidRPr="00E73A47">
        <w:rPr>
          <w:szCs w:val="24"/>
        </w:rPr>
        <w:t xml:space="preserve">obie strony wyrażą na to zgodę, </w:t>
      </w:r>
    </w:p>
    <w:p w14:paraId="00544659" w14:textId="77777777" w:rsidR="00E73A47" w:rsidRDefault="00E73A47" w:rsidP="00E73A47">
      <w:pPr>
        <w:pStyle w:val="Akapitzlist"/>
        <w:numPr>
          <w:ilvl w:val="0"/>
          <w:numId w:val="41"/>
        </w:numPr>
        <w:spacing w:after="0" w:line="360" w:lineRule="auto"/>
        <w:rPr>
          <w:szCs w:val="24"/>
        </w:rPr>
      </w:pPr>
      <w:r w:rsidRPr="00E73A47">
        <w:rPr>
          <w:szCs w:val="24"/>
        </w:rPr>
        <w:t xml:space="preserve">żąda tego konsument w sporze z przedsiębiorcą </w:t>
      </w:r>
    </w:p>
    <w:p w14:paraId="3C1B7616" w14:textId="77777777" w:rsidR="004E0696" w:rsidRPr="00E73A47" w:rsidRDefault="00E73A47" w:rsidP="00E73A47">
      <w:pPr>
        <w:pStyle w:val="Akapitzlist"/>
        <w:numPr>
          <w:ilvl w:val="0"/>
          <w:numId w:val="41"/>
        </w:numPr>
        <w:spacing w:after="0" w:line="360" w:lineRule="auto"/>
        <w:rPr>
          <w:szCs w:val="24"/>
        </w:rPr>
      </w:pPr>
      <w:r w:rsidRPr="00E73A47">
        <w:rPr>
          <w:szCs w:val="24"/>
        </w:rPr>
        <w:t>albo fakt dokonania czynności prawnej jest uprawdopodobniony za pomocą dokumentu.</w:t>
      </w:r>
    </w:p>
    <w:p w14:paraId="048DF4DA" w14:textId="77777777" w:rsidR="00E73A47" w:rsidRPr="00E73A47" w:rsidRDefault="00E73A47" w:rsidP="00E73A47">
      <w:pPr>
        <w:spacing w:after="0" w:line="360" w:lineRule="auto"/>
        <w:rPr>
          <w:szCs w:val="24"/>
        </w:rPr>
      </w:pPr>
      <w:r w:rsidRPr="00E73A47">
        <w:rPr>
          <w:szCs w:val="24"/>
        </w:rPr>
        <w:t>Art. 77. § 1. Uzupełnienie lub zmiana umowy wymaga zachowania takiej formy, jaką ustawa lub strony przewidziały w celu jej zawarcia.</w:t>
      </w:r>
    </w:p>
    <w:p w14:paraId="54F6FC4D" w14:textId="77777777" w:rsidR="00F52990" w:rsidRDefault="00E73A47" w:rsidP="00E73A47">
      <w:pPr>
        <w:spacing w:after="0" w:line="360" w:lineRule="auto"/>
        <w:rPr>
          <w:szCs w:val="24"/>
        </w:rPr>
      </w:pPr>
      <w:r w:rsidRPr="00E73A47">
        <w:rPr>
          <w:szCs w:val="24"/>
        </w:rPr>
        <w:t>§ 2. Jeżeli umowa została zawarta w formie pisemnej, dokumentowej albo elektronicznej, jej rozwiązanie za zgodą obu stron, jak również odstąpienie od niej albo jej wypowiedzenie wymaga zachowania formy dokumentowej, chyba że ustawa lub umowa zastrzega inną formę.</w:t>
      </w:r>
    </w:p>
    <w:p w14:paraId="2239FD27" w14:textId="77777777" w:rsidR="00E73A47" w:rsidRDefault="00E73A47" w:rsidP="00E73A47">
      <w:pPr>
        <w:spacing w:after="0" w:line="360" w:lineRule="auto"/>
        <w:rPr>
          <w:szCs w:val="24"/>
          <w:u w:val="single"/>
        </w:rPr>
      </w:pPr>
      <w:r w:rsidRPr="004E0696">
        <w:rPr>
          <w:szCs w:val="24"/>
          <w:u w:val="single"/>
        </w:rPr>
        <w:t>Forma czynności prawnej</w:t>
      </w:r>
      <w:r>
        <w:rPr>
          <w:szCs w:val="24"/>
          <w:u w:val="single"/>
        </w:rPr>
        <w:t xml:space="preserve"> dla wywołania określonych skutków prawnych</w:t>
      </w:r>
    </w:p>
    <w:p w14:paraId="25B17937" w14:textId="77777777" w:rsidR="00E73A47" w:rsidRDefault="00E73A47" w:rsidP="00E73A47">
      <w:pPr>
        <w:spacing w:after="0" w:line="360" w:lineRule="auto"/>
        <w:rPr>
          <w:szCs w:val="24"/>
        </w:rPr>
      </w:pPr>
      <w:r w:rsidRPr="00E73A47">
        <w:rPr>
          <w:szCs w:val="24"/>
        </w:rPr>
        <w:t>Do zachowania pisemnej formy czynności prawnej wystarcza złożenie własnoręcznego podpisu na dokumencie obejmującym treść oświadczenia woli. Do zawarcia umowy wystarcza wymiana dokumentów obejmujących treść oświadczeń woli, z których każdy jest podpisany przez jedną ze stron, lub dokumentów, z których każdy obejmuje treść oświadczenia woli jednej ze stron i jest przez nią podpisany</w:t>
      </w:r>
      <w:r>
        <w:rPr>
          <w:szCs w:val="24"/>
        </w:rPr>
        <w:t xml:space="preserve"> (</w:t>
      </w:r>
      <w:r w:rsidRPr="00E73A47">
        <w:rPr>
          <w:szCs w:val="24"/>
        </w:rPr>
        <w:t>Art. 78. § 1.</w:t>
      </w:r>
      <w:r>
        <w:rPr>
          <w:szCs w:val="24"/>
        </w:rPr>
        <w:t xml:space="preserve"> KC)</w:t>
      </w:r>
      <w:r w:rsidRPr="00E73A47">
        <w:rPr>
          <w:szCs w:val="24"/>
        </w:rPr>
        <w:t>.</w:t>
      </w:r>
    </w:p>
    <w:p w14:paraId="248407BA" w14:textId="77777777" w:rsidR="00E73A47" w:rsidRPr="00E73A47" w:rsidRDefault="00E73A47" w:rsidP="00E73A47">
      <w:pPr>
        <w:spacing w:after="0" w:line="360" w:lineRule="auto"/>
        <w:rPr>
          <w:szCs w:val="24"/>
        </w:rPr>
      </w:pPr>
      <w:r w:rsidRPr="00E73A47">
        <w:rPr>
          <w:szCs w:val="24"/>
        </w:rPr>
        <w:t>Do zachowania elektronicznej formy czynności prawnej wystarcza złożenie oświadczenia woli w postaci elektronicznej i opatrzenie go kwalifikowanym podpisem elektronicznym</w:t>
      </w:r>
      <w:r>
        <w:rPr>
          <w:szCs w:val="24"/>
        </w:rPr>
        <w:t xml:space="preserve"> (</w:t>
      </w:r>
      <w:r w:rsidRPr="00E73A47">
        <w:rPr>
          <w:szCs w:val="24"/>
        </w:rPr>
        <w:t>Art. 78</w:t>
      </w:r>
      <w:r w:rsidRPr="00E73A47">
        <w:rPr>
          <w:szCs w:val="24"/>
          <w:vertAlign w:val="superscript"/>
        </w:rPr>
        <w:t>1</w:t>
      </w:r>
      <w:r w:rsidRPr="00E73A47">
        <w:rPr>
          <w:szCs w:val="24"/>
        </w:rPr>
        <w:t>. § 1.</w:t>
      </w:r>
      <w:r>
        <w:rPr>
          <w:szCs w:val="24"/>
        </w:rPr>
        <w:t xml:space="preserve"> KC)</w:t>
      </w:r>
      <w:r w:rsidRPr="00E73A47">
        <w:rPr>
          <w:szCs w:val="24"/>
        </w:rPr>
        <w:t>.</w:t>
      </w:r>
    </w:p>
    <w:p w14:paraId="78292EC1" w14:textId="77777777" w:rsidR="001A259E" w:rsidRPr="001A259E" w:rsidRDefault="001A259E" w:rsidP="00E73A47">
      <w:pPr>
        <w:spacing w:after="0" w:line="360" w:lineRule="auto"/>
        <w:rPr>
          <w:szCs w:val="24"/>
          <w:u w:val="single"/>
        </w:rPr>
      </w:pPr>
      <w:r w:rsidRPr="001A259E">
        <w:rPr>
          <w:szCs w:val="24"/>
          <w:u w:val="single"/>
        </w:rPr>
        <w:t>Oświadczenie woli osób nie mogących pisać</w:t>
      </w:r>
    </w:p>
    <w:p w14:paraId="5EF38731" w14:textId="77777777" w:rsidR="00E73A47" w:rsidRDefault="00E73A47" w:rsidP="00E73A47">
      <w:pPr>
        <w:spacing w:after="0" w:line="360" w:lineRule="auto"/>
        <w:rPr>
          <w:szCs w:val="24"/>
        </w:rPr>
      </w:pPr>
      <w:r w:rsidRPr="00E73A47">
        <w:rPr>
          <w:szCs w:val="24"/>
        </w:rPr>
        <w:t xml:space="preserve">Osoba niemogąca pisać może złożyć oświadczenie woli w formie pisemnej w ten sposób, że uczyni na dokumencie tuszowy odcisk palca, a obok tego odcisku osoba przez nią upoważniona wypisze jej imię i nazwisko oraz złoży swój podpis, albo w ten sposób, że zamiast składającego oświadczenie podpisze się osoba przez niego upoważniona, a jej podpis będzie poświadczony przez notariusza, wójta (burmistrza, prezydenta miasta), starostę lub </w:t>
      </w:r>
      <w:r w:rsidRPr="00E73A47">
        <w:rPr>
          <w:szCs w:val="24"/>
        </w:rPr>
        <w:lastRenderedPageBreak/>
        <w:t>marszałka województwa z zaznaczeniem, że został złożony na życzenie osoby niemogącej pisać.</w:t>
      </w:r>
    </w:p>
    <w:p w14:paraId="3F963DFD" w14:textId="77777777" w:rsidR="00E73A47" w:rsidRDefault="00E73A47" w:rsidP="001B3A53">
      <w:pPr>
        <w:spacing w:after="0" w:line="360" w:lineRule="auto"/>
        <w:rPr>
          <w:szCs w:val="24"/>
        </w:rPr>
      </w:pPr>
    </w:p>
    <w:p w14:paraId="01D4EEED" w14:textId="77777777" w:rsidR="004A235C" w:rsidRDefault="004A235C" w:rsidP="001B3A53">
      <w:pPr>
        <w:spacing w:after="0" w:line="360" w:lineRule="auto"/>
        <w:rPr>
          <w:szCs w:val="24"/>
        </w:rPr>
      </w:pPr>
      <w:r>
        <w:rPr>
          <w:szCs w:val="24"/>
        </w:rPr>
        <w:t>TEST sprawdzający:</w:t>
      </w:r>
    </w:p>
    <w:p w14:paraId="60DEAFAB" w14:textId="77777777" w:rsidR="0099077E" w:rsidRDefault="0099077E" w:rsidP="001B3A53">
      <w:pPr>
        <w:spacing w:after="0" w:line="360" w:lineRule="auto"/>
        <w:rPr>
          <w:szCs w:val="24"/>
        </w:rPr>
      </w:pPr>
      <w:r>
        <w:rPr>
          <w:szCs w:val="24"/>
        </w:rPr>
        <w:t>Rozwiąż poniższy test sprawdzając</w:t>
      </w:r>
      <w:r w:rsidR="00B803FF">
        <w:rPr>
          <w:szCs w:val="24"/>
        </w:rPr>
        <w:t>y</w:t>
      </w:r>
      <w:r>
        <w:rPr>
          <w:szCs w:val="24"/>
        </w:rPr>
        <w:t>. Wybierz tylko jedną prawidłową odpowiedź</w:t>
      </w:r>
      <w:r w:rsidR="00B803FF">
        <w:rPr>
          <w:szCs w:val="24"/>
        </w:rPr>
        <w:t xml:space="preserve"> z każdego pytania</w:t>
      </w:r>
      <w:r>
        <w:rPr>
          <w:szCs w:val="24"/>
        </w:rPr>
        <w:t xml:space="preserve"> i zapisz ją na kartce. Po rozwiązaniu testu porównaj swoje odpowiedzi z kluczem</w:t>
      </w:r>
      <w:r w:rsidR="00B803FF">
        <w:rPr>
          <w:szCs w:val="24"/>
        </w:rPr>
        <w:t xml:space="preserve"> (ze </w:t>
      </w:r>
      <w:r w:rsidR="00B803FF" w:rsidRPr="006E2897">
        <w:rPr>
          <w:szCs w:val="24"/>
        </w:rPr>
        <w:t>stro</w:t>
      </w:r>
      <w:r w:rsidR="00E73A47" w:rsidRPr="006E2897">
        <w:rPr>
          <w:szCs w:val="24"/>
        </w:rPr>
        <w:t>ny 9</w:t>
      </w:r>
      <w:r w:rsidR="00B803FF">
        <w:rPr>
          <w:szCs w:val="24"/>
        </w:rPr>
        <w:t>).</w:t>
      </w:r>
      <w:r>
        <w:rPr>
          <w:szCs w:val="24"/>
        </w:rPr>
        <w:t xml:space="preserve"> </w:t>
      </w:r>
      <w:r w:rsidR="00B803FF">
        <w:rPr>
          <w:szCs w:val="24"/>
        </w:rPr>
        <w:t>Jeśli wybrałaś/wybrałeś błędną odpowiedź wróć do tekstu i przeanalizuj fragmenty tekstu dotyczące błędnie zaznaczonych odpowiedzi.</w:t>
      </w:r>
    </w:p>
    <w:p w14:paraId="5A062E74" w14:textId="77777777" w:rsidR="00626EDD" w:rsidRPr="00626EDD" w:rsidRDefault="00675DA4" w:rsidP="00626EDD">
      <w:pPr>
        <w:spacing w:before="240" w:after="0" w:line="360" w:lineRule="auto"/>
        <w:rPr>
          <w:szCs w:val="24"/>
        </w:rPr>
      </w:pPr>
      <w:r>
        <w:rPr>
          <w:szCs w:val="24"/>
        </w:rPr>
        <w:t>1.</w:t>
      </w:r>
      <w:r w:rsidR="00626EDD">
        <w:rPr>
          <w:szCs w:val="24"/>
        </w:rPr>
        <w:t xml:space="preserve"> </w:t>
      </w:r>
      <w:r w:rsidR="00626EDD" w:rsidRPr="00626EDD">
        <w:rPr>
          <w:szCs w:val="24"/>
        </w:rPr>
        <w:t>Czynność prawna wywołuje:</w:t>
      </w:r>
    </w:p>
    <w:p w14:paraId="3A31083C" w14:textId="77777777" w:rsidR="00D73DBA" w:rsidRDefault="00D73DBA" w:rsidP="00626EDD">
      <w:pPr>
        <w:spacing w:after="0" w:line="360" w:lineRule="auto"/>
        <w:rPr>
          <w:szCs w:val="24"/>
        </w:rPr>
      </w:pPr>
      <w:r>
        <w:rPr>
          <w:szCs w:val="24"/>
        </w:rPr>
        <w:t>a</w:t>
      </w:r>
      <w:r w:rsidRPr="00626EDD">
        <w:rPr>
          <w:szCs w:val="24"/>
        </w:rPr>
        <w:t>) skutki w niej wyrażone, równ</w:t>
      </w:r>
      <w:r>
        <w:rPr>
          <w:szCs w:val="24"/>
        </w:rPr>
        <w:t>ież te, które wynikają z ustawy</w:t>
      </w:r>
      <w:r w:rsidRPr="00626EDD">
        <w:rPr>
          <w:szCs w:val="24"/>
        </w:rPr>
        <w:t xml:space="preserve"> </w:t>
      </w:r>
      <w:r>
        <w:rPr>
          <w:szCs w:val="24"/>
        </w:rPr>
        <w:t xml:space="preserve">oraz </w:t>
      </w:r>
      <w:r w:rsidRPr="00626EDD">
        <w:rPr>
          <w:szCs w:val="24"/>
        </w:rPr>
        <w:t>z zasad współżycia społe</w:t>
      </w:r>
      <w:r>
        <w:rPr>
          <w:szCs w:val="24"/>
        </w:rPr>
        <w:t>cznego i z ustalonych zwyczajów,</w:t>
      </w:r>
    </w:p>
    <w:p w14:paraId="0615B573" w14:textId="77777777" w:rsidR="00626EDD" w:rsidRPr="00626EDD" w:rsidRDefault="00D73DBA" w:rsidP="00626EDD">
      <w:pPr>
        <w:spacing w:after="0" w:line="360" w:lineRule="auto"/>
        <w:rPr>
          <w:szCs w:val="24"/>
        </w:rPr>
      </w:pPr>
      <w:r>
        <w:rPr>
          <w:szCs w:val="24"/>
        </w:rPr>
        <w:t>b</w:t>
      </w:r>
      <w:r w:rsidR="00626EDD" w:rsidRPr="00626EDD">
        <w:rPr>
          <w:szCs w:val="24"/>
        </w:rPr>
        <w:t>) skutki wynikające z ustawy,</w:t>
      </w:r>
    </w:p>
    <w:p w14:paraId="09DEB37B" w14:textId="77777777" w:rsidR="00626EDD" w:rsidRPr="00626EDD" w:rsidRDefault="00D73DBA" w:rsidP="00626EDD">
      <w:pPr>
        <w:spacing w:after="0" w:line="360" w:lineRule="auto"/>
        <w:rPr>
          <w:szCs w:val="24"/>
        </w:rPr>
      </w:pPr>
      <w:r>
        <w:rPr>
          <w:szCs w:val="24"/>
        </w:rPr>
        <w:t>c</w:t>
      </w:r>
      <w:r w:rsidR="00626EDD" w:rsidRPr="00626EDD">
        <w:rPr>
          <w:szCs w:val="24"/>
        </w:rPr>
        <w:t>) skutki wynikające</w:t>
      </w:r>
      <w:r>
        <w:rPr>
          <w:szCs w:val="24"/>
        </w:rPr>
        <w:t xml:space="preserve"> z zasad współżycia społecznego.</w:t>
      </w:r>
    </w:p>
    <w:p w14:paraId="3F9819B9" w14:textId="77777777" w:rsidR="00D73DBA" w:rsidRPr="00D73DBA" w:rsidRDefault="00D73DBA" w:rsidP="00D73DBA">
      <w:pPr>
        <w:spacing w:before="240" w:after="0" w:line="360" w:lineRule="auto"/>
        <w:rPr>
          <w:szCs w:val="24"/>
        </w:rPr>
      </w:pPr>
      <w:r>
        <w:rPr>
          <w:szCs w:val="24"/>
        </w:rPr>
        <w:t xml:space="preserve">2. </w:t>
      </w:r>
      <w:r w:rsidRPr="00D73DBA">
        <w:rPr>
          <w:szCs w:val="24"/>
        </w:rPr>
        <w:t>Czynność prawna sprzeczna z zasadami współżycia społecznego jest:</w:t>
      </w:r>
    </w:p>
    <w:p w14:paraId="491FB635" w14:textId="77777777" w:rsidR="00D73DBA" w:rsidRPr="00D73DBA" w:rsidRDefault="00D73DBA" w:rsidP="00D73DBA">
      <w:pPr>
        <w:spacing w:after="0" w:line="360" w:lineRule="auto"/>
        <w:rPr>
          <w:szCs w:val="24"/>
        </w:rPr>
      </w:pPr>
      <w:r w:rsidRPr="00D73DBA">
        <w:rPr>
          <w:szCs w:val="24"/>
        </w:rPr>
        <w:t>a) ważna, o ile nie niesie ze sobą rażącego pokrzywdzenia stron tej czynności,</w:t>
      </w:r>
    </w:p>
    <w:p w14:paraId="609DED96" w14:textId="77777777" w:rsidR="00D73DBA" w:rsidRPr="00D73DBA" w:rsidRDefault="00D73DBA" w:rsidP="00D73DBA">
      <w:pPr>
        <w:spacing w:after="0" w:line="360" w:lineRule="auto"/>
        <w:rPr>
          <w:szCs w:val="24"/>
        </w:rPr>
      </w:pPr>
      <w:r w:rsidRPr="00D73DBA">
        <w:rPr>
          <w:szCs w:val="24"/>
        </w:rPr>
        <w:t>b) nieważna,</w:t>
      </w:r>
    </w:p>
    <w:p w14:paraId="25B087A2" w14:textId="77777777" w:rsidR="00D73DBA" w:rsidRPr="00D73DBA" w:rsidRDefault="00D73DBA" w:rsidP="00D73DBA">
      <w:pPr>
        <w:spacing w:after="0" w:line="360" w:lineRule="auto"/>
        <w:rPr>
          <w:szCs w:val="24"/>
        </w:rPr>
      </w:pPr>
      <w:r w:rsidRPr="00D73DBA">
        <w:rPr>
          <w:szCs w:val="24"/>
        </w:rPr>
        <w:t>c) ważna.</w:t>
      </w:r>
    </w:p>
    <w:p w14:paraId="00501A29" w14:textId="77777777" w:rsidR="00D73DBA" w:rsidRPr="00D73DBA" w:rsidRDefault="00D73DBA" w:rsidP="00F807B3">
      <w:pPr>
        <w:spacing w:before="240" w:after="0" w:line="360" w:lineRule="auto"/>
        <w:rPr>
          <w:szCs w:val="24"/>
        </w:rPr>
      </w:pPr>
      <w:r>
        <w:rPr>
          <w:szCs w:val="24"/>
        </w:rPr>
        <w:t>3. Jeżeli nieważność</w:t>
      </w:r>
      <w:r w:rsidRPr="00D73DBA">
        <w:rPr>
          <w:szCs w:val="24"/>
        </w:rPr>
        <w:t xml:space="preserve"> </w:t>
      </w:r>
      <w:r>
        <w:rPr>
          <w:szCs w:val="24"/>
        </w:rPr>
        <w:t>dotyczy tylko części</w:t>
      </w:r>
      <w:r w:rsidRPr="00D73DBA">
        <w:rPr>
          <w:szCs w:val="24"/>
        </w:rPr>
        <w:t xml:space="preserve"> czynności prawnej, </w:t>
      </w:r>
      <w:r>
        <w:rPr>
          <w:szCs w:val="24"/>
        </w:rPr>
        <w:t xml:space="preserve">to </w:t>
      </w:r>
      <w:r w:rsidRPr="00D73DBA">
        <w:rPr>
          <w:szCs w:val="24"/>
        </w:rPr>
        <w:t>czynność:</w:t>
      </w:r>
    </w:p>
    <w:p w14:paraId="1C08553D" w14:textId="77777777" w:rsidR="00D73DBA" w:rsidRPr="00D73DBA" w:rsidRDefault="00D73DBA" w:rsidP="00D73DBA">
      <w:pPr>
        <w:spacing w:after="0" w:line="360" w:lineRule="auto"/>
        <w:rPr>
          <w:szCs w:val="24"/>
        </w:rPr>
      </w:pPr>
      <w:r w:rsidRPr="00D73DBA">
        <w:rPr>
          <w:szCs w:val="24"/>
        </w:rPr>
        <w:t>a) pozostaje w mocy co do pozostałych części, chyba że z okoliczności wynika, iż bez postanowień dotkniętych nieważnością czynność nie zostałaby dokonana,</w:t>
      </w:r>
    </w:p>
    <w:p w14:paraId="06BABD70" w14:textId="77777777" w:rsidR="00D73DBA" w:rsidRPr="00D73DBA" w:rsidRDefault="00D73DBA" w:rsidP="00D73DBA">
      <w:pPr>
        <w:spacing w:after="0" w:line="360" w:lineRule="auto"/>
        <w:rPr>
          <w:szCs w:val="24"/>
        </w:rPr>
      </w:pPr>
      <w:r w:rsidRPr="00D73DBA">
        <w:rPr>
          <w:szCs w:val="24"/>
        </w:rPr>
        <w:t>b) pozostaje w mocy,</w:t>
      </w:r>
    </w:p>
    <w:p w14:paraId="45021CFF" w14:textId="77777777" w:rsidR="00626EDD" w:rsidRDefault="00D73DBA" w:rsidP="00D73DBA">
      <w:pPr>
        <w:spacing w:after="0" w:line="360" w:lineRule="auto"/>
        <w:rPr>
          <w:szCs w:val="24"/>
        </w:rPr>
      </w:pPr>
      <w:r w:rsidRPr="00D73DBA">
        <w:rPr>
          <w:szCs w:val="24"/>
        </w:rPr>
        <w:t xml:space="preserve">c) </w:t>
      </w:r>
      <w:r>
        <w:rPr>
          <w:szCs w:val="24"/>
        </w:rPr>
        <w:t>jest nieważna</w:t>
      </w:r>
      <w:r w:rsidRPr="00D73DBA">
        <w:rPr>
          <w:szCs w:val="24"/>
        </w:rPr>
        <w:t>.</w:t>
      </w:r>
    </w:p>
    <w:p w14:paraId="7D1F3C06" w14:textId="77777777" w:rsidR="00D73DBA" w:rsidRDefault="00D73DBA" w:rsidP="004E0696">
      <w:pPr>
        <w:spacing w:before="240" w:after="0" w:line="360" w:lineRule="auto"/>
        <w:rPr>
          <w:szCs w:val="24"/>
        </w:rPr>
      </w:pPr>
      <w:r>
        <w:rPr>
          <w:szCs w:val="24"/>
        </w:rPr>
        <w:t>4.</w:t>
      </w:r>
      <w:r w:rsidR="004E0696">
        <w:rPr>
          <w:szCs w:val="24"/>
        </w:rPr>
        <w:t xml:space="preserve"> </w:t>
      </w:r>
      <w:r w:rsidR="006E2897" w:rsidRPr="006E2897">
        <w:rPr>
          <w:szCs w:val="24"/>
        </w:rPr>
        <w:t>Oświadczenie woli jest możliwe gdy:</w:t>
      </w:r>
    </w:p>
    <w:p w14:paraId="324EA6C5" w14:textId="77777777" w:rsidR="006E2897" w:rsidRDefault="006E2897" w:rsidP="006E2897">
      <w:pPr>
        <w:pStyle w:val="Akapitzlist"/>
        <w:numPr>
          <w:ilvl w:val="0"/>
          <w:numId w:val="42"/>
        </w:numPr>
        <w:spacing w:line="360" w:lineRule="auto"/>
        <w:rPr>
          <w:bCs/>
          <w:szCs w:val="24"/>
        </w:rPr>
      </w:pPr>
      <w:r>
        <w:rPr>
          <w:bCs/>
          <w:szCs w:val="24"/>
        </w:rPr>
        <w:t>oświadczenie jest zrozumiałe, na tyle aby dało się ustalić jego sens,</w:t>
      </w:r>
    </w:p>
    <w:p w14:paraId="0E609F52" w14:textId="77777777" w:rsidR="006E2897" w:rsidRDefault="006E2897" w:rsidP="006E2897">
      <w:pPr>
        <w:pStyle w:val="Akapitzlist"/>
        <w:numPr>
          <w:ilvl w:val="0"/>
          <w:numId w:val="42"/>
        </w:numPr>
        <w:spacing w:line="360" w:lineRule="auto"/>
        <w:rPr>
          <w:bCs/>
          <w:szCs w:val="24"/>
        </w:rPr>
      </w:pPr>
      <w:r>
        <w:rPr>
          <w:bCs/>
          <w:szCs w:val="24"/>
        </w:rPr>
        <w:t>powstało pod przymusem fizycznym,</w:t>
      </w:r>
    </w:p>
    <w:p w14:paraId="2BCCD8C5" w14:textId="77777777" w:rsidR="006E2897" w:rsidRPr="006E2897" w:rsidRDefault="006E2897" w:rsidP="006E2897">
      <w:pPr>
        <w:pStyle w:val="Akapitzlist"/>
        <w:numPr>
          <w:ilvl w:val="0"/>
          <w:numId w:val="42"/>
        </w:numPr>
        <w:spacing w:line="360" w:lineRule="auto"/>
        <w:rPr>
          <w:bCs/>
          <w:szCs w:val="24"/>
        </w:rPr>
      </w:pPr>
      <w:r>
        <w:rPr>
          <w:bCs/>
          <w:szCs w:val="24"/>
        </w:rPr>
        <w:t>obie odpowiedzi są poprawne.</w:t>
      </w:r>
    </w:p>
    <w:p w14:paraId="6CA4B815" w14:textId="77777777" w:rsidR="00D73DBA" w:rsidRDefault="00F807B3" w:rsidP="006E2897">
      <w:pPr>
        <w:spacing w:before="240" w:after="0" w:line="360" w:lineRule="auto"/>
        <w:rPr>
          <w:szCs w:val="24"/>
        </w:rPr>
      </w:pPr>
      <w:r>
        <w:rPr>
          <w:szCs w:val="24"/>
        </w:rPr>
        <w:t xml:space="preserve">5. </w:t>
      </w:r>
      <w:r w:rsidR="00757153">
        <w:rPr>
          <w:szCs w:val="24"/>
        </w:rPr>
        <w:t>Dorozumiane oświadczenie woli jest:</w:t>
      </w:r>
    </w:p>
    <w:p w14:paraId="0636F884" w14:textId="77777777" w:rsidR="00757153" w:rsidRDefault="00757153" w:rsidP="00D73DBA">
      <w:pPr>
        <w:spacing w:after="0" w:line="360" w:lineRule="auto"/>
        <w:rPr>
          <w:szCs w:val="24"/>
        </w:rPr>
      </w:pPr>
      <w:r>
        <w:rPr>
          <w:szCs w:val="24"/>
        </w:rPr>
        <w:t>a) złożone pisemnie,</w:t>
      </w:r>
    </w:p>
    <w:p w14:paraId="05E88F3D" w14:textId="77777777" w:rsidR="00757153" w:rsidRDefault="00757153" w:rsidP="00D73DBA">
      <w:pPr>
        <w:spacing w:after="0" w:line="360" w:lineRule="auto"/>
        <w:rPr>
          <w:szCs w:val="24"/>
        </w:rPr>
      </w:pPr>
      <w:r>
        <w:rPr>
          <w:szCs w:val="24"/>
        </w:rPr>
        <w:t>b)</w:t>
      </w:r>
      <w:r w:rsidR="006E2897">
        <w:rPr>
          <w:szCs w:val="24"/>
        </w:rPr>
        <w:t xml:space="preserve"> złożone ustnie,</w:t>
      </w:r>
    </w:p>
    <w:p w14:paraId="45CBBBE0" w14:textId="77777777" w:rsidR="006E2897" w:rsidRDefault="006E2897" w:rsidP="00D73DBA">
      <w:pPr>
        <w:spacing w:after="0" w:line="360" w:lineRule="auto"/>
        <w:rPr>
          <w:szCs w:val="24"/>
        </w:rPr>
      </w:pPr>
      <w:r>
        <w:rPr>
          <w:szCs w:val="24"/>
        </w:rPr>
        <w:t xml:space="preserve">c) </w:t>
      </w:r>
      <w:r w:rsidRPr="006E2897">
        <w:rPr>
          <w:szCs w:val="24"/>
        </w:rPr>
        <w:t>złożone poprzez gesty i inne komunikaty pozawerbalne</w:t>
      </w:r>
      <w:r>
        <w:rPr>
          <w:szCs w:val="24"/>
        </w:rPr>
        <w:t>.</w:t>
      </w:r>
    </w:p>
    <w:p w14:paraId="33F35A5D" w14:textId="77777777" w:rsidR="00D73DBA" w:rsidRDefault="001A259E" w:rsidP="00757153">
      <w:pPr>
        <w:spacing w:before="240" w:after="0" w:line="360" w:lineRule="auto"/>
        <w:rPr>
          <w:szCs w:val="24"/>
        </w:rPr>
      </w:pPr>
      <w:r>
        <w:rPr>
          <w:szCs w:val="24"/>
        </w:rPr>
        <w:lastRenderedPageBreak/>
        <w:t xml:space="preserve">6. </w:t>
      </w:r>
      <w:r w:rsidR="00757153">
        <w:rPr>
          <w:szCs w:val="24"/>
        </w:rPr>
        <w:t>O</w:t>
      </w:r>
      <w:r w:rsidR="00757153" w:rsidRPr="00757153">
        <w:rPr>
          <w:szCs w:val="24"/>
        </w:rPr>
        <w:t>świadczenie woli złożone przez osobę, która znajdowała się w stanie wyłączającym świadome pow</w:t>
      </w:r>
      <w:r w:rsidR="00757153">
        <w:rPr>
          <w:szCs w:val="24"/>
        </w:rPr>
        <w:t>zięcie decyzji i wyrażenie woli jest:</w:t>
      </w:r>
    </w:p>
    <w:p w14:paraId="19DE8165" w14:textId="77777777" w:rsidR="00757153" w:rsidRDefault="00757153" w:rsidP="00D73DBA">
      <w:pPr>
        <w:spacing w:after="0" w:line="360" w:lineRule="auto"/>
        <w:rPr>
          <w:szCs w:val="24"/>
        </w:rPr>
      </w:pPr>
      <w:r>
        <w:rPr>
          <w:szCs w:val="24"/>
        </w:rPr>
        <w:t>a) Ważne,</w:t>
      </w:r>
    </w:p>
    <w:p w14:paraId="0816D0D8" w14:textId="77777777" w:rsidR="00757153" w:rsidRDefault="00757153" w:rsidP="00D73DBA">
      <w:pPr>
        <w:spacing w:after="0" w:line="360" w:lineRule="auto"/>
        <w:rPr>
          <w:szCs w:val="24"/>
        </w:rPr>
      </w:pPr>
      <w:r>
        <w:rPr>
          <w:szCs w:val="24"/>
        </w:rPr>
        <w:t>b) Nieważne,</w:t>
      </w:r>
    </w:p>
    <w:p w14:paraId="6E569714" w14:textId="77777777" w:rsidR="00757153" w:rsidRDefault="00757153" w:rsidP="00D73DBA">
      <w:pPr>
        <w:spacing w:after="0" w:line="360" w:lineRule="auto"/>
        <w:rPr>
          <w:szCs w:val="24"/>
        </w:rPr>
      </w:pPr>
      <w:r>
        <w:rPr>
          <w:szCs w:val="24"/>
        </w:rPr>
        <w:t xml:space="preserve">c) Względnie nieważne. </w:t>
      </w:r>
    </w:p>
    <w:p w14:paraId="0AEEC557" w14:textId="77777777" w:rsidR="001A259E" w:rsidRDefault="001A259E" w:rsidP="00DF6968">
      <w:pPr>
        <w:spacing w:before="240" w:after="0" w:line="360" w:lineRule="auto"/>
        <w:rPr>
          <w:szCs w:val="24"/>
        </w:rPr>
      </w:pPr>
      <w:r>
        <w:rPr>
          <w:szCs w:val="24"/>
        </w:rPr>
        <w:t xml:space="preserve">7. </w:t>
      </w:r>
      <w:r w:rsidR="00DF6968" w:rsidRPr="00DF6968">
        <w:rPr>
          <w:szCs w:val="24"/>
        </w:rPr>
        <w:t>Jeżeli strony zastrzegły w umowie, że określona czynność prawna między nimi ma być dokonana w szczególnej formie</w:t>
      </w:r>
      <w:r w:rsidR="00DF6968">
        <w:rPr>
          <w:szCs w:val="24"/>
        </w:rPr>
        <w:t xml:space="preserve"> to</w:t>
      </w:r>
      <w:r w:rsidR="00DF6968" w:rsidRPr="00DF6968">
        <w:rPr>
          <w:szCs w:val="24"/>
        </w:rPr>
        <w:t>:</w:t>
      </w:r>
    </w:p>
    <w:p w14:paraId="051563D0" w14:textId="77777777" w:rsidR="00DF6968" w:rsidRDefault="00DF6968" w:rsidP="00D73DBA">
      <w:pPr>
        <w:spacing w:after="0" w:line="360" w:lineRule="auto"/>
        <w:rPr>
          <w:szCs w:val="24"/>
        </w:rPr>
      </w:pPr>
      <w:r>
        <w:rPr>
          <w:szCs w:val="24"/>
        </w:rPr>
        <w:t>a) dopuszczalna jest inna forma, jeśli jedna ze stron tak postanowi,</w:t>
      </w:r>
    </w:p>
    <w:p w14:paraId="20A2E7CC" w14:textId="77777777" w:rsidR="00DF6968" w:rsidRDefault="00DF6968" w:rsidP="00D73DBA">
      <w:pPr>
        <w:spacing w:after="0" w:line="360" w:lineRule="auto"/>
        <w:rPr>
          <w:szCs w:val="24"/>
        </w:rPr>
      </w:pPr>
      <w:r>
        <w:rPr>
          <w:szCs w:val="24"/>
        </w:rPr>
        <w:t>b) obie odpowiedzi są poprawne,</w:t>
      </w:r>
    </w:p>
    <w:p w14:paraId="24A350A8" w14:textId="77777777" w:rsidR="00DF6968" w:rsidRDefault="00DF6968" w:rsidP="00D73DBA">
      <w:pPr>
        <w:spacing w:after="0" w:line="360" w:lineRule="auto"/>
        <w:rPr>
          <w:szCs w:val="24"/>
        </w:rPr>
      </w:pPr>
      <w:r>
        <w:rPr>
          <w:szCs w:val="24"/>
        </w:rPr>
        <w:t xml:space="preserve">c) </w:t>
      </w:r>
      <w:r w:rsidRPr="00DF6968">
        <w:rPr>
          <w:szCs w:val="24"/>
        </w:rPr>
        <w:t>czynność ta dochodzi do skutku tylko przy zachowaniu zastrzeżonej formy</w:t>
      </w:r>
      <w:r>
        <w:rPr>
          <w:szCs w:val="24"/>
        </w:rPr>
        <w:t>.</w:t>
      </w:r>
    </w:p>
    <w:p w14:paraId="285A04D0" w14:textId="77777777" w:rsidR="001A259E" w:rsidRDefault="001A259E" w:rsidP="00DF6968">
      <w:pPr>
        <w:spacing w:before="240" w:after="0" w:line="360" w:lineRule="auto"/>
        <w:rPr>
          <w:szCs w:val="24"/>
        </w:rPr>
      </w:pPr>
      <w:r>
        <w:rPr>
          <w:szCs w:val="24"/>
        </w:rPr>
        <w:t>8. Czy o</w:t>
      </w:r>
      <w:r w:rsidRPr="001A259E">
        <w:rPr>
          <w:szCs w:val="24"/>
        </w:rPr>
        <w:t>soba niemogąca pisać może złożyć oświadczenie woli</w:t>
      </w:r>
      <w:r>
        <w:rPr>
          <w:szCs w:val="24"/>
        </w:rPr>
        <w:t>?</w:t>
      </w:r>
    </w:p>
    <w:p w14:paraId="207779DA" w14:textId="77777777" w:rsidR="001A259E" w:rsidRDefault="001A259E" w:rsidP="00D73DBA">
      <w:pPr>
        <w:spacing w:after="0" w:line="360" w:lineRule="auto"/>
        <w:rPr>
          <w:szCs w:val="24"/>
        </w:rPr>
      </w:pPr>
      <w:r>
        <w:rPr>
          <w:szCs w:val="24"/>
        </w:rPr>
        <w:t>a) TAK</w:t>
      </w:r>
    </w:p>
    <w:p w14:paraId="228A7551" w14:textId="77777777" w:rsidR="001A259E" w:rsidRDefault="001A259E" w:rsidP="00D73DBA">
      <w:pPr>
        <w:spacing w:after="0" w:line="360" w:lineRule="auto"/>
        <w:rPr>
          <w:szCs w:val="24"/>
        </w:rPr>
      </w:pPr>
      <w:r>
        <w:rPr>
          <w:szCs w:val="24"/>
        </w:rPr>
        <w:t>b) NIE</w:t>
      </w:r>
    </w:p>
    <w:p w14:paraId="34C36517" w14:textId="77777777" w:rsidR="00757153" w:rsidRDefault="00757153" w:rsidP="00D73DBA">
      <w:pPr>
        <w:spacing w:after="0" w:line="360" w:lineRule="auto"/>
        <w:rPr>
          <w:szCs w:val="24"/>
        </w:rPr>
      </w:pPr>
    </w:p>
    <w:p w14:paraId="4709F3D4" w14:textId="77777777" w:rsidR="00757153" w:rsidRDefault="00757153" w:rsidP="00D73DBA">
      <w:pPr>
        <w:spacing w:after="0" w:line="360" w:lineRule="auto"/>
        <w:rPr>
          <w:szCs w:val="24"/>
        </w:rPr>
      </w:pPr>
    </w:p>
    <w:p w14:paraId="63DBE900" w14:textId="77777777" w:rsidR="00757153" w:rsidRDefault="00757153" w:rsidP="00D73DBA">
      <w:pPr>
        <w:spacing w:after="0" w:line="360" w:lineRule="auto"/>
        <w:rPr>
          <w:szCs w:val="24"/>
        </w:rPr>
      </w:pPr>
    </w:p>
    <w:p w14:paraId="06868ECD" w14:textId="77777777" w:rsidR="00757153" w:rsidRDefault="00757153" w:rsidP="00D73DBA">
      <w:pPr>
        <w:spacing w:after="0" w:line="360" w:lineRule="auto"/>
        <w:rPr>
          <w:szCs w:val="24"/>
        </w:rPr>
      </w:pPr>
    </w:p>
    <w:p w14:paraId="7321143A" w14:textId="77777777" w:rsidR="00757153" w:rsidRDefault="00757153" w:rsidP="00D73DBA">
      <w:pPr>
        <w:spacing w:after="0" w:line="360" w:lineRule="auto"/>
        <w:rPr>
          <w:szCs w:val="24"/>
        </w:rPr>
      </w:pPr>
    </w:p>
    <w:p w14:paraId="5711F965" w14:textId="77777777" w:rsidR="00757153" w:rsidRDefault="00757153" w:rsidP="00D73DBA">
      <w:pPr>
        <w:spacing w:after="0" w:line="360" w:lineRule="auto"/>
        <w:rPr>
          <w:szCs w:val="24"/>
        </w:rPr>
      </w:pPr>
    </w:p>
    <w:p w14:paraId="67996923" w14:textId="77777777" w:rsidR="00757153" w:rsidRDefault="00757153" w:rsidP="00D73DBA">
      <w:pPr>
        <w:spacing w:after="0" w:line="360" w:lineRule="auto"/>
        <w:rPr>
          <w:szCs w:val="24"/>
        </w:rPr>
      </w:pPr>
    </w:p>
    <w:p w14:paraId="03634E91" w14:textId="77777777" w:rsidR="00757153" w:rsidRDefault="00757153" w:rsidP="00D73DBA">
      <w:pPr>
        <w:spacing w:after="0" w:line="360" w:lineRule="auto"/>
        <w:rPr>
          <w:szCs w:val="24"/>
        </w:rPr>
      </w:pPr>
    </w:p>
    <w:p w14:paraId="13C9C4E7" w14:textId="77777777" w:rsidR="00757153" w:rsidRDefault="00757153" w:rsidP="00D73DBA">
      <w:pPr>
        <w:spacing w:after="0" w:line="360" w:lineRule="auto"/>
        <w:rPr>
          <w:szCs w:val="24"/>
        </w:rPr>
      </w:pPr>
    </w:p>
    <w:p w14:paraId="3E939C8C" w14:textId="77777777" w:rsidR="00757153" w:rsidRDefault="00757153" w:rsidP="00D73DBA">
      <w:pPr>
        <w:spacing w:after="0" w:line="360" w:lineRule="auto"/>
        <w:rPr>
          <w:szCs w:val="24"/>
        </w:rPr>
      </w:pPr>
    </w:p>
    <w:p w14:paraId="3FE97D67" w14:textId="77777777" w:rsidR="00757153" w:rsidRDefault="00757153" w:rsidP="00D73DBA">
      <w:pPr>
        <w:spacing w:after="0" w:line="360" w:lineRule="auto"/>
        <w:rPr>
          <w:szCs w:val="24"/>
        </w:rPr>
      </w:pPr>
    </w:p>
    <w:p w14:paraId="7B7CAA63" w14:textId="77777777" w:rsidR="00757153" w:rsidRDefault="00757153" w:rsidP="00D73DBA">
      <w:pPr>
        <w:spacing w:after="0" w:line="360" w:lineRule="auto"/>
        <w:rPr>
          <w:szCs w:val="24"/>
        </w:rPr>
      </w:pPr>
    </w:p>
    <w:p w14:paraId="78A18D39" w14:textId="77777777" w:rsidR="006E2897" w:rsidRDefault="006E2897" w:rsidP="00D73DBA">
      <w:pPr>
        <w:spacing w:after="0" w:line="360" w:lineRule="auto"/>
        <w:rPr>
          <w:szCs w:val="24"/>
        </w:rPr>
      </w:pPr>
    </w:p>
    <w:p w14:paraId="68B3CE3F" w14:textId="77777777" w:rsidR="006E2897" w:rsidRDefault="006E2897" w:rsidP="00D73DBA">
      <w:pPr>
        <w:spacing w:after="0" w:line="360" w:lineRule="auto"/>
        <w:rPr>
          <w:szCs w:val="24"/>
        </w:rPr>
      </w:pPr>
    </w:p>
    <w:p w14:paraId="54FC418B" w14:textId="77777777" w:rsidR="006E2897" w:rsidRDefault="006E2897" w:rsidP="00D73DBA">
      <w:pPr>
        <w:spacing w:after="0" w:line="360" w:lineRule="auto"/>
        <w:rPr>
          <w:szCs w:val="24"/>
        </w:rPr>
      </w:pPr>
    </w:p>
    <w:p w14:paraId="6C6B5898" w14:textId="77777777" w:rsidR="006E2897" w:rsidRDefault="006E2897" w:rsidP="00D73DBA">
      <w:pPr>
        <w:spacing w:after="0" w:line="360" w:lineRule="auto"/>
        <w:rPr>
          <w:szCs w:val="24"/>
        </w:rPr>
      </w:pPr>
    </w:p>
    <w:p w14:paraId="6D32BD05" w14:textId="77777777" w:rsidR="006E2897" w:rsidRDefault="006E2897" w:rsidP="00D73DBA">
      <w:pPr>
        <w:spacing w:after="0" w:line="360" w:lineRule="auto"/>
        <w:rPr>
          <w:szCs w:val="24"/>
        </w:rPr>
      </w:pPr>
    </w:p>
    <w:p w14:paraId="4E8A681E" w14:textId="77777777" w:rsidR="006E2897" w:rsidRDefault="006E2897" w:rsidP="00D73DBA">
      <w:pPr>
        <w:spacing w:after="0" w:line="360" w:lineRule="auto"/>
        <w:rPr>
          <w:szCs w:val="24"/>
        </w:rPr>
      </w:pPr>
    </w:p>
    <w:p w14:paraId="2EC9381E" w14:textId="77777777" w:rsidR="006E2897" w:rsidRDefault="006E2897" w:rsidP="00D73DBA">
      <w:pPr>
        <w:spacing w:after="0" w:line="360" w:lineRule="auto"/>
        <w:rPr>
          <w:szCs w:val="24"/>
        </w:rPr>
      </w:pPr>
    </w:p>
    <w:p w14:paraId="787A9BFB" w14:textId="77777777" w:rsidR="006E2897" w:rsidRDefault="006E2897" w:rsidP="00D73DBA">
      <w:pPr>
        <w:spacing w:after="0" w:line="360" w:lineRule="auto"/>
        <w:rPr>
          <w:szCs w:val="24"/>
        </w:rPr>
      </w:pPr>
    </w:p>
    <w:p w14:paraId="12BED829" w14:textId="77777777" w:rsidR="006E2897" w:rsidRDefault="006E2897" w:rsidP="00D73DBA">
      <w:pPr>
        <w:spacing w:after="0" w:line="360" w:lineRule="auto"/>
        <w:rPr>
          <w:szCs w:val="24"/>
        </w:rPr>
      </w:pPr>
    </w:p>
    <w:p w14:paraId="3E7746A1" w14:textId="77777777" w:rsidR="006E2897" w:rsidRDefault="006E2897" w:rsidP="00D73DBA">
      <w:pPr>
        <w:spacing w:after="0" w:line="360" w:lineRule="auto"/>
        <w:rPr>
          <w:szCs w:val="24"/>
        </w:rPr>
      </w:pPr>
    </w:p>
    <w:p w14:paraId="00DD6F00" w14:textId="77777777" w:rsidR="00D73DBA" w:rsidRDefault="00D73DBA" w:rsidP="00D73DBA">
      <w:pPr>
        <w:spacing w:after="0" w:line="360" w:lineRule="auto"/>
        <w:rPr>
          <w:szCs w:val="24"/>
        </w:rPr>
      </w:pPr>
      <w:r>
        <w:rPr>
          <w:szCs w:val="24"/>
        </w:rPr>
        <w:t>Odpowiedzi (KLUCZ)</w:t>
      </w:r>
    </w:p>
    <w:p w14:paraId="49F804AD" w14:textId="77777777" w:rsidR="00626EDD" w:rsidRDefault="00D73DBA" w:rsidP="00675DA4">
      <w:pPr>
        <w:spacing w:before="240" w:after="0" w:line="360" w:lineRule="auto"/>
        <w:rPr>
          <w:szCs w:val="24"/>
        </w:rPr>
      </w:pPr>
      <w:r>
        <w:rPr>
          <w:szCs w:val="24"/>
        </w:rPr>
        <w:t>1-a</w:t>
      </w:r>
      <w:r w:rsidR="00626EDD">
        <w:rPr>
          <w:szCs w:val="24"/>
        </w:rPr>
        <w:t>, 2-</w:t>
      </w:r>
      <w:r>
        <w:rPr>
          <w:szCs w:val="24"/>
        </w:rPr>
        <w:t xml:space="preserve">b, 3-a, </w:t>
      </w:r>
      <w:r w:rsidR="00757153">
        <w:rPr>
          <w:szCs w:val="24"/>
        </w:rPr>
        <w:t>4-</w:t>
      </w:r>
      <w:r w:rsidR="006E2897">
        <w:rPr>
          <w:szCs w:val="24"/>
        </w:rPr>
        <w:t>a</w:t>
      </w:r>
      <w:r>
        <w:rPr>
          <w:szCs w:val="24"/>
        </w:rPr>
        <w:t xml:space="preserve">, </w:t>
      </w:r>
      <w:r w:rsidR="0072628A">
        <w:rPr>
          <w:szCs w:val="24"/>
        </w:rPr>
        <w:t>5-</w:t>
      </w:r>
      <w:r w:rsidR="006E2897">
        <w:rPr>
          <w:szCs w:val="24"/>
        </w:rPr>
        <w:t>c</w:t>
      </w:r>
      <w:r w:rsidR="00757153">
        <w:rPr>
          <w:szCs w:val="24"/>
        </w:rPr>
        <w:t>, 6-b, 7-c, 8-a</w:t>
      </w:r>
    </w:p>
    <w:sectPr w:rsidR="00626E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5AF68" w14:textId="77777777" w:rsidR="008F4ADD" w:rsidRDefault="008F4ADD" w:rsidP="00555C97">
      <w:pPr>
        <w:spacing w:after="0" w:line="240" w:lineRule="auto"/>
      </w:pPr>
      <w:r>
        <w:separator/>
      </w:r>
    </w:p>
  </w:endnote>
  <w:endnote w:type="continuationSeparator" w:id="0">
    <w:p w14:paraId="18515E3B" w14:textId="77777777" w:rsidR="008F4ADD" w:rsidRDefault="008F4ADD" w:rsidP="0055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9F8F9" w14:textId="77777777" w:rsidR="008F4ADD" w:rsidRDefault="008F4ADD" w:rsidP="00555C97">
      <w:pPr>
        <w:spacing w:after="0" w:line="240" w:lineRule="auto"/>
      </w:pPr>
      <w:r>
        <w:separator/>
      </w:r>
    </w:p>
  </w:footnote>
  <w:footnote w:type="continuationSeparator" w:id="0">
    <w:p w14:paraId="78B56B74" w14:textId="77777777" w:rsidR="008F4ADD" w:rsidRDefault="008F4ADD" w:rsidP="0055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6219"/>
    <w:multiLevelType w:val="hybridMultilevel"/>
    <w:tmpl w:val="AA82C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B196E"/>
    <w:multiLevelType w:val="hybridMultilevel"/>
    <w:tmpl w:val="88968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23589"/>
    <w:multiLevelType w:val="hybridMultilevel"/>
    <w:tmpl w:val="61929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D7E70"/>
    <w:multiLevelType w:val="hybridMultilevel"/>
    <w:tmpl w:val="C6D6A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FA28BB"/>
    <w:multiLevelType w:val="hybridMultilevel"/>
    <w:tmpl w:val="53FAE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45521"/>
    <w:multiLevelType w:val="hybridMultilevel"/>
    <w:tmpl w:val="C0F659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3107B"/>
    <w:multiLevelType w:val="hybridMultilevel"/>
    <w:tmpl w:val="7A50C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11DC3"/>
    <w:multiLevelType w:val="hybridMultilevel"/>
    <w:tmpl w:val="25627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97106"/>
    <w:multiLevelType w:val="hybridMultilevel"/>
    <w:tmpl w:val="40B849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75958"/>
    <w:multiLevelType w:val="hybridMultilevel"/>
    <w:tmpl w:val="4E3A8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B37F2"/>
    <w:multiLevelType w:val="hybridMultilevel"/>
    <w:tmpl w:val="F190D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4463E7"/>
    <w:multiLevelType w:val="hybridMultilevel"/>
    <w:tmpl w:val="25965064"/>
    <w:lvl w:ilvl="0" w:tplc="7738FD0A">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93110"/>
    <w:multiLevelType w:val="hybridMultilevel"/>
    <w:tmpl w:val="4DFC1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63AEF"/>
    <w:multiLevelType w:val="hybridMultilevel"/>
    <w:tmpl w:val="85EAF93A"/>
    <w:lvl w:ilvl="0" w:tplc="C5B42B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3839A3"/>
    <w:multiLevelType w:val="hybridMultilevel"/>
    <w:tmpl w:val="3D763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13873"/>
    <w:multiLevelType w:val="hybridMultilevel"/>
    <w:tmpl w:val="9D565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31204"/>
    <w:multiLevelType w:val="hybridMultilevel"/>
    <w:tmpl w:val="713EC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F678B"/>
    <w:multiLevelType w:val="hybridMultilevel"/>
    <w:tmpl w:val="F0A0A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E0E1C"/>
    <w:multiLevelType w:val="hybridMultilevel"/>
    <w:tmpl w:val="17FC7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27AAA"/>
    <w:multiLevelType w:val="hybridMultilevel"/>
    <w:tmpl w:val="AC1072AA"/>
    <w:lvl w:ilvl="0" w:tplc="F8069BC8">
      <w:start w:val="1"/>
      <w:numFmt w:val="decimal"/>
      <w:lvlText w:val="%1)"/>
      <w:lvlJc w:val="left"/>
      <w:pPr>
        <w:ind w:left="720" w:hanging="360"/>
      </w:pPr>
      <w:rPr>
        <w:rFonts w:hint="default"/>
        <w:b w:val="0"/>
      </w:rPr>
    </w:lvl>
    <w:lvl w:ilvl="1" w:tplc="A0766536">
      <w:start w:val="1"/>
      <w:numFmt w:val="lowerLetter"/>
      <w:lvlText w:val="%2."/>
      <w:lvlJc w:val="left"/>
      <w:pPr>
        <w:ind w:left="1440" w:hanging="360"/>
      </w:pPr>
      <w:rPr>
        <w:b w:val="0"/>
      </w:rPr>
    </w:lvl>
    <w:lvl w:ilvl="2" w:tplc="50229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94ABA"/>
    <w:multiLevelType w:val="hybridMultilevel"/>
    <w:tmpl w:val="C98CB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F1BC6"/>
    <w:multiLevelType w:val="hybridMultilevel"/>
    <w:tmpl w:val="5C98A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3C4E7B"/>
    <w:multiLevelType w:val="hybridMultilevel"/>
    <w:tmpl w:val="32C2C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D654C"/>
    <w:multiLevelType w:val="hybridMultilevel"/>
    <w:tmpl w:val="79BCA6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410926"/>
    <w:multiLevelType w:val="hybridMultilevel"/>
    <w:tmpl w:val="7CDA5F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20400"/>
    <w:multiLevelType w:val="hybridMultilevel"/>
    <w:tmpl w:val="7DDA8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D46C11"/>
    <w:multiLevelType w:val="hybridMultilevel"/>
    <w:tmpl w:val="8EC6E2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E1F66"/>
    <w:multiLevelType w:val="hybridMultilevel"/>
    <w:tmpl w:val="0C66FE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21B39"/>
    <w:multiLevelType w:val="hybridMultilevel"/>
    <w:tmpl w:val="8D4AB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D45B2"/>
    <w:multiLevelType w:val="hybridMultilevel"/>
    <w:tmpl w:val="6B40F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C4B03"/>
    <w:multiLevelType w:val="hybridMultilevel"/>
    <w:tmpl w:val="0A84A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87143B"/>
    <w:multiLevelType w:val="hybridMultilevel"/>
    <w:tmpl w:val="B532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B54523"/>
    <w:multiLevelType w:val="hybridMultilevel"/>
    <w:tmpl w:val="A322D2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D61738"/>
    <w:multiLevelType w:val="hybridMultilevel"/>
    <w:tmpl w:val="D640F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A11C7"/>
    <w:multiLevelType w:val="hybridMultilevel"/>
    <w:tmpl w:val="0A640E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F74B8"/>
    <w:multiLevelType w:val="hybridMultilevel"/>
    <w:tmpl w:val="DC3A5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15C7"/>
    <w:multiLevelType w:val="hybridMultilevel"/>
    <w:tmpl w:val="7AAEF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B8777B"/>
    <w:multiLevelType w:val="hybridMultilevel"/>
    <w:tmpl w:val="3D763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42F11"/>
    <w:multiLevelType w:val="hybridMultilevel"/>
    <w:tmpl w:val="F15AC5C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970736"/>
    <w:multiLevelType w:val="hybridMultilevel"/>
    <w:tmpl w:val="66D0B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ED6769"/>
    <w:multiLevelType w:val="hybridMultilevel"/>
    <w:tmpl w:val="2FF42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D45362"/>
    <w:multiLevelType w:val="hybridMultilevel"/>
    <w:tmpl w:val="1ADCC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41"/>
  </w:num>
  <w:num w:numId="4">
    <w:abstractNumId w:val="21"/>
  </w:num>
  <w:num w:numId="5">
    <w:abstractNumId w:val="31"/>
  </w:num>
  <w:num w:numId="6">
    <w:abstractNumId w:val="30"/>
  </w:num>
  <w:num w:numId="7">
    <w:abstractNumId w:val="10"/>
  </w:num>
  <w:num w:numId="8">
    <w:abstractNumId w:val="13"/>
  </w:num>
  <w:num w:numId="9">
    <w:abstractNumId w:val="2"/>
  </w:num>
  <w:num w:numId="10">
    <w:abstractNumId w:val="26"/>
  </w:num>
  <w:num w:numId="11">
    <w:abstractNumId w:val="0"/>
  </w:num>
  <w:num w:numId="12">
    <w:abstractNumId w:val="40"/>
  </w:num>
  <w:num w:numId="13">
    <w:abstractNumId w:val="19"/>
  </w:num>
  <w:num w:numId="14">
    <w:abstractNumId w:val="5"/>
  </w:num>
  <w:num w:numId="15">
    <w:abstractNumId w:val="38"/>
  </w:num>
  <w:num w:numId="16">
    <w:abstractNumId w:val="32"/>
  </w:num>
  <w:num w:numId="17">
    <w:abstractNumId w:val="1"/>
  </w:num>
  <w:num w:numId="18">
    <w:abstractNumId w:val="34"/>
  </w:num>
  <w:num w:numId="19">
    <w:abstractNumId w:val="23"/>
  </w:num>
  <w:num w:numId="20">
    <w:abstractNumId w:val="35"/>
  </w:num>
  <w:num w:numId="21">
    <w:abstractNumId w:val="7"/>
  </w:num>
  <w:num w:numId="22">
    <w:abstractNumId w:val="36"/>
  </w:num>
  <w:num w:numId="23">
    <w:abstractNumId w:val="15"/>
  </w:num>
  <w:num w:numId="24">
    <w:abstractNumId w:val="9"/>
  </w:num>
  <w:num w:numId="25">
    <w:abstractNumId w:val="28"/>
  </w:num>
  <w:num w:numId="26">
    <w:abstractNumId w:val="3"/>
  </w:num>
  <w:num w:numId="27">
    <w:abstractNumId w:val="18"/>
  </w:num>
  <w:num w:numId="28">
    <w:abstractNumId w:val="8"/>
  </w:num>
  <w:num w:numId="29">
    <w:abstractNumId w:val="14"/>
  </w:num>
  <w:num w:numId="30">
    <w:abstractNumId w:val="4"/>
  </w:num>
  <w:num w:numId="31">
    <w:abstractNumId w:val="17"/>
  </w:num>
  <w:num w:numId="32">
    <w:abstractNumId w:val="24"/>
  </w:num>
  <w:num w:numId="33">
    <w:abstractNumId w:val="29"/>
  </w:num>
  <w:num w:numId="34">
    <w:abstractNumId w:val="27"/>
  </w:num>
  <w:num w:numId="35">
    <w:abstractNumId w:val="22"/>
  </w:num>
  <w:num w:numId="36">
    <w:abstractNumId w:val="6"/>
  </w:num>
  <w:num w:numId="37">
    <w:abstractNumId w:val="25"/>
  </w:num>
  <w:num w:numId="38">
    <w:abstractNumId w:val="12"/>
  </w:num>
  <w:num w:numId="39">
    <w:abstractNumId w:val="16"/>
  </w:num>
  <w:num w:numId="40">
    <w:abstractNumId w:val="20"/>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70"/>
    <w:rsid w:val="00010DCD"/>
    <w:rsid w:val="00041589"/>
    <w:rsid w:val="00093E28"/>
    <w:rsid w:val="00096385"/>
    <w:rsid w:val="000A2F21"/>
    <w:rsid w:val="000A7041"/>
    <w:rsid w:val="000B6482"/>
    <w:rsid w:val="000C15F2"/>
    <w:rsid w:val="000E6844"/>
    <w:rsid w:val="00144E25"/>
    <w:rsid w:val="00167DB1"/>
    <w:rsid w:val="001A259E"/>
    <w:rsid w:val="001B3A53"/>
    <w:rsid w:val="001B6432"/>
    <w:rsid w:val="001C3C38"/>
    <w:rsid w:val="002173F9"/>
    <w:rsid w:val="002453E6"/>
    <w:rsid w:val="00283AC0"/>
    <w:rsid w:val="002C1A2D"/>
    <w:rsid w:val="002D08B9"/>
    <w:rsid w:val="002E17B1"/>
    <w:rsid w:val="002F45A9"/>
    <w:rsid w:val="00321738"/>
    <w:rsid w:val="003C286B"/>
    <w:rsid w:val="00440090"/>
    <w:rsid w:val="004506ED"/>
    <w:rsid w:val="00460963"/>
    <w:rsid w:val="00460E89"/>
    <w:rsid w:val="004A235C"/>
    <w:rsid w:val="004A68CC"/>
    <w:rsid w:val="004E0696"/>
    <w:rsid w:val="004F0EE1"/>
    <w:rsid w:val="0050053A"/>
    <w:rsid w:val="00540720"/>
    <w:rsid w:val="00554FAB"/>
    <w:rsid w:val="00555C97"/>
    <w:rsid w:val="0057604D"/>
    <w:rsid w:val="005F78E9"/>
    <w:rsid w:val="00604593"/>
    <w:rsid w:val="00626EDD"/>
    <w:rsid w:val="006673A2"/>
    <w:rsid w:val="00675DA4"/>
    <w:rsid w:val="006D652B"/>
    <w:rsid w:val="006E2897"/>
    <w:rsid w:val="00710EBA"/>
    <w:rsid w:val="0072628A"/>
    <w:rsid w:val="00753889"/>
    <w:rsid w:val="00757153"/>
    <w:rsid w:val="00760F8E"/>
    <w:rsid w:val="007B127A"/>
    <w:rsid w:val="00845B8C"/>
    <w:rsid w:val="00867D70"/>
    <w:rsid w:val="008973AB"/>
    <w:rsid w:val="008C53A5"/>
    <w:rsid w:val="008D1F07"/>
    <w:rsid w:val="008F4ADD"/>
    <w:rsid w:val="00900489"/>
    <w:rsid w:val="00925841"/>
    <w:rsid w:val="00974B80"/>
    <w:rsid w:val="00980114"/>
    <w:rsid w:val="0099077E"/>
    <w:rsid w:val="009A031A"/>
    <w:rsid w:val="009A3AAC"/>
    <w:rsid w:val="009D2311"/>
    <w:rsid w:val="009E2067"/>
    <w:rsid w:val="00A41737"/>
    <w:rsid w:val="00AA37F0"/>
    <w:rsid w:val="00AA5C13"/>
    <w:rsid w:val="00B022CE"/>
    <w:rsid w:val="00B04B23"/>
    <w:rsid w:val="00B43706"/>
    <w:rsid w:val="00B74BBC"/>
    <w:rsid w:val="00B803FF"/>
    <w:rsid w:val="00B83A6D"/>
    <w:rsid w:val="00B96F0E"/>
    <w:rsid w:val="00BD19DF"/>
    <w:rsid w:val="00C1088D"/>
    <w:rsid w:val="00C13561"/>
    <w:rsid w:val="00C51709"/>
    <w:rsid w:val="00C61FC2"/>
    <w:rsid w:val="00C65CB2"/>
    <w:rsid w:val="00CE2231"/>
    <w:rsid w:val="00D21439"/>
    <w:rsid w:val="00D2774F"/>
    <w:rsid w:val="00D52D93"/>
    <w:rsid w:val="00D73DBA"/>
    <w:rsid w:val="00D87046"/>
    <w:rsid w:val="00DA32E6"/>
    <w:rsid w:val="00DC3C24"/>
    <w:rsid w:val="00DF6968"/>
    <w:rsid w:val="00E26516"/>
    <w:rsid w:val="00E52B25"/>
    <w:rsid w:val="00E73A47"/>
    <w:rsid w:val="00EC0855"/>
    <w:rsid w:val="00EE78E1"/>
    <w:rsid w:val="00F0061D"/>
    <w:rsid w:val="00F10C8A"/>
    <w:rsid w:val="00F45912"/>
    <w:rsid w:val="00F52990"/>
    <w:rsid w:val="00F55C3C"/>
    <w:rsid w:val="00F807B3"/>
    <w:rsid w:val="00F83E3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8033"/>
  <w15:chartTrackingRefBased/>
  <w15:docId w15:val="{62B2CF05-2E7B-4C2A-BCEA-F7603FA5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Kaszczu Normalny"/>
    <w:qFormat/>
    <w:rsid w:val="00B022CE"/>
    <w:rPr>
      <w:rFonts w:ascii="Times New Roman" w:hAnsi="Times New Roman"/>
      <w:sz w:val="24"/>
    </w:rPr>
  </w:style>
  <w:style w:type="paragraph" w:styleId="Nagwek1">
    <w:name w:val="heading 1"/>
    <w:basedOn w:val="Normalny"/>
    <w:next w:val="Normalny"/>
    <w:link w:val="Nagwek1Znak"/>
    <w:uiPriority w:val="9"/>
    <w:qFormat/>
    <w:rsid w:val="00B022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022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szczunagwek1">
    <w:name w:val="Kaszczu nagłówek 1"/>
    <w:basedOn w:val="Nagwek1"/>
    <w:next w:val="Normalny"/>
    <w:link w:val="Kaszczunagwek1Znak"/>
    <w:qFormat/>
    <w:rsid w:val="00B022CE"/>
    <w:rPr>
      <w:rFonts w:ascii="Times New Roman" w:hAnsi="Times New Roman"/>
      <w:b/>
      <w:sz w:val="28"/>
    </w:rPr>
  </w:style>
  <w:style w:type="character" w:customStyle="1" w:styleId="Kaszczunagwek1Znak">
    <w:name w:val="Kaszczu nagłówek 1 Znak"/>
    <w:basedOn w:val="Nagwek1Znak"/>
    <w:link w:val="Kaszczunagwek1"/>
    <w:rsid w:val="00B022CE"/>
    <w:rPr>
      <w:rFonts w:ascii="Times New Roman" w:eastAsiaTheme="majorEastAsia" w:hAnsi="Times New Roman" w:cstheme="majorBidi"/>
      <w:b/>
      <w:color w:val="2E74B5" w:themeColor="accent1" w:themeShade="BF"/>
      <w:sz w:val="28"/>
      <w:szCs w:val="32"/>
    </w:rPr>
  </w:style>
  <w:style w:type="character" w:customStyle="1" w:styleId="Nagwek1Znak">
    <w:name w:val="Nagłówek 1 Znak"/>
    <w:basedOn w:val="Domylnaczcionkaakapitu"/>
    <w:link w:val="Nagwek1"/>
    <w:uiPriority w:val="9"/>
    <w:rsid w:val="00B022CE"/>
    <w:rPr>
      <w:rFonts w:asciiTheme="majorHAnsi" w:eastAsiaTheme="majorEastAsia" w:hAnsiTheme="majorHAnsi" w:cstheme="majorBidi"/>
      <w:color w:val="2E74B5" w:themeColor="accent1" w:themeShade="BF"/>
      <w:sz w:val="32"/>
      <w:szCs w:val="32"/>
    </w:rPr>
  </w:style>
  <w:style w:type="paragraph" w:customStyle="1" w:styleId="Kaszczunagwek2">
    <w:name w:val="Kaszczu nagłówek 2"/>
    <w:basedOn w:val="Nagwek2"/>
    <w:link w:val="Kaszczunagwek2Znak"/>
    <w:qFormat/>
    <w:rsid w:val="00B022CE"/>
    <w:pPr>
      <w:ind w:left="708"/>
    </w:pPr>
    <w:rPr>
      <w:rFonts w:ascii="Times New Roman" w:hAnsi="Times New Roman"/>
      <w:b/>
      <w:i/>
      <w:sz w:val="24"/>
    </w:rPr>
  </w:style>
  <w:style w:type="character" w:customStyle="1" w:styleId="Kaszczunagwek2Znak">
    <w:name w:val="Kaszczu nagłówek 2 Znak"/>
    <w:basedOn w:val="Nagwek2Znak"/>
    <w:link w:val="Kaszczunagwek2"/>
    <w:rsid w:val="00B022CE"/>
    <w:rPr>
      <w:rFonts w:ascii="Times New Roman" w:eastAsiaTheme="majorEastAsia" w:hAnsi="Times New Roman" w:cstheme="majorBidi"/>
      <w:b/>
      <w:i/>
      <w:color w:val="2E74B5" w:themeColor="accent1" w:themeShade="BF"/>
      <w:sz w:val="24"/>
      <w:szCs w:val="26"/>
    </w:rPr>
  </w:style>
  <w:style w:type="character" w:customStyle="1" w:styleId="Nagwek2Znak">
    <w:name w:val="Nagłówek 2 Znak"/>
    <w:basedOn w:val="Domylnaczcionkaakapitu"/>
    <w:link w:val="Nagwek2"/>
    <w:uiPriority w:val="9"/>
    <w:semiHidden/>
    <w:rsid w:val="00B022CE"/>
    <w:rPr>
      <w:rFonts w:asciiTheme="majorHAnsi" w:eastAsiaTheme="majorEastAsia" w:hAnsiTheme="majorHAnsi" w:cstheme="majorBidi"/>
      <w:color w:val="2E74B5" w:themeColor="accent1" w:themeShade="BF"/>
      <w:sz w:val="26"/>
      <w:szCs w:val="26"/>
    </w:rPr>
  </w:style>
  <w:style w:type="paragraph" w:customStyle="1" w:styleId="Kaszczunormalny">
    <w:name w:val="Kaszczu normalny"/>
    <w:basedOn w:val="Normalny"/>
    <w:link w:val="KaszczunormalnyZnak"/>
    <w:qFormat/>
    <w:rsid w:val="00B022CE"/>
  </w:style>
  <w:style w:type="character" w:customStyle="1" w:styleId="KaszczunormalnyZnak">
    <w:name w:val="Kaszczu normalny Znak"/>
    <w:basedOn w:val="Domylnaczcionkaakapitu"/>
    <w:link w:val="Kaszczunormalny"/>
    <w:rsid w:val="00B022CE"/>
    <w:rPr>
      <w:rFonts w:ascii="Times New Roman" w:hAnsi="Times New Roman"/>
      <w:sz w:val="24"/>
    </w:rPr>
  </w:style>
  <w:style w:type="paragraph" w:styleId="Akapitzlist">
    <w:name w:val="List Paragraph"/>
    <w:basedOn w:val="Normalny"/>
    <w:uiPriority w:val="34"/>
    <w:qFormat/>
    <w:rsid w:val="00867D70"/>
    <w:pPr>
      <w:ind w:left="720"/>
      <w:contextualSpacing/>
    </w:pPr>
  </w:style>
  <w:style w:type="paragraph" w:customStyle="1" w:styleId="Default">
    <w:name w:val="Default"/>
    <w:rsid w:val="00B4370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55C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C97"/>
    <w:rPr>
      <w:rFonts w:ascii="Times New Roman" w:hAnsi="Times New Roman"/>
      <w:sz w:val="20"/>
      <w:szCs w:val="20"/>
    </w:rPr>
  </w:style>
  <w:style w:type="character" w:styleId="Odwoanieprzypisukocowego">
    <w:name w:val="endnote reference"/>
    <w:basedOn w:val="Domylnaczcionkaakapitu"/>
    <w:uiPriority w:val="99"/>
    <w:semiHidden/>
    <w:unhideWhenUsed/>
    <w:rsid w:val="00555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A298-B510-4060-9175-383EF371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1825</Words>
  <Characters>10951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sekretariat2</cp:lastModifiedBy>
  <cp:revision>2</cp:revision>
  <dcterms:created xsi:type="dcterms:W3CDTF">2020-04-29T11:33:00Z</dcterms:created>
  <dcterms:modified xsi:type="dcterms:W3CDTF">2020-04-29T11:33:00Z</dcterms:modified>
</cp:coreProperties>
</file>